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spacing w:line="432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spacing w:line="432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spacing w:line="432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市经信</w:t>
      </w:r>
      <w:r>
        <w:rPr>
          <w:rFonts w:hint="eastAsia" w:ascii="宋体" w:hAnsi="宋体"/>
          <w:b/>
          <w:sz w:val="44"/>
          <w:szCs w:val="44"/>
          <w:lang w:eastAsia="zh-CN"/>
        </w:rPr>
        <w:t>局</w:t>
      </w:r>
      <w:r>
        <w:rPr>
          <w:rFonts w:hint="eastAsia" w:ascii="宋体" w:hAnsi="宋体"/>
          <w:b/>
          <w:sz w:val="44"/>
          <w:szCs w:val="44"/>
        </w:rPr>
        <w:t>关于印发《</w:t>
      </w:r>
      <w:r>
        <w:rPr>
          <w:rFonts w:eastAsiaTheme="minorEastAsia"/>
          <w:b/>
          <w:bCs/>
          <w:color w:val="333333"/>
          <w:kern w:val="0"/>
          <w:sz w:val="44"/>
          <w:highlight w:val="none"/>
        </w:rPr>
        <w:t>武汉市</w:t>
      </w:r>
      <w:r>
        <w:rPr>
          <w:rFonts w:hint="eastAsia" w:eastAsiaTheme="minorEastAsia"/>
          <w:b/>
          <w:bCs/>
          <w:color w:val="333333"/>
          <w:kern w:val="0"/>
          <w:sz w:val="44"/>
          <w:highlight w:val="none"/>
          <w:lang w:eastAsia="zh-CN"/>
        </w:rPr>
        <w:t>规模以上工业企业上台阶奖资金</w:t>
      </w:r>
      <w:r>
        <w:rPr>
          <w:rFonts w:hint="eastAsia" w:eastAsiaTheme="minorEastAsia"/>
          <w:b/>
          <w:bCs/>
          <w:color w:val="333333"/>
          <w:kern w:val="0"/>
          <w:sz w:val="44"/>
          <w:highlight w:val="none"/>
        </w:rPr>
        <w:t>管理办法</w:t>
      </w:r>
      <w:r>
        <w:rPr>
          <w:rFonts w:hint="eastAsia" w:ascii="宋体" w:hAnsi="宋体"/>
          <w:b/>
          <w:sz w:val="44"/>
          <w:szCs w:val="44"/>
        </w:rPr>
        <w:t>》的通知</w:t>
      </w:r>
    </w:p>
    <w:p>
      <w:pPr>
        <w:autoSpaceDN w:val="0"/>
        <w:spacing w:before="100" w:beforeAutospacing="1" w:after="100" w:afterAutospacing="1"/>
        <w:jc w:val="center"/>
        <w:rPr>
          <w:rFonts w:ascii="仿宋" w:hAnsi="仿宋" w:eastAsia="仿宋"/>
          <w:b/>
          <w:sz w:val="44"/>
        </w:rPr>
      </w:pPr>
    </w:p>
    <w:p>
      <w:pPr>
        <w:autoSpaceDN w:val="0"/>
        <w:spacing w:before="100" w:beforeAutospacing="1" w:after="100" w:afterAutospacing="1"/>
        <w:rPr>
          <w:rFonts w:hint="eastAsia" w:ascii="仿宋_GB2312" w:hAnsi="仿宋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bCs/>
          <w:sz w:val="32"/>
          <w:szCs w:val="32"/>
        </w:rPr>
        <w:t>各区（开发区）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经信部门</w:t>
      </w:r>
      <w:r>
        <w:rPr>
          <w:rFonts w:hint="eastAsia" w:ascii="仿宋_GB2312" w:hAnsi="仿宋" w:eastAsia="仿宋_GB2312"/>
          <w:bCs/>
          <w:sz w:val="32"/>
          <w:szCs w:val="32"/>
        </w:rPr>
        <w:t>：</w:t>
      </w:r>
    </w:p>
    <w:p>
      <w:pPr>
        <w:autoSpaceDN w:val="0"/>
        <w:spacing w:before="100" w:beforeAutospacing="1" w:after="100" w:afterAutospacing="1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根据《市人民政府关于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印发武汉市实施“万千百工程”推进制造业高质量发展行动方案的通知</w:t>
      </w:r>
      <w:r>
        <w:rPr>
          <w:rFonts w:eastAsia="仿宋_GB2312"/>
          <w:sz w:val="32"/>
          <w:szCs w:val="32"/>
          <w:highlight w:val="none"/>
        </w:rPr>
        <w:t>》（武政规 [2018]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sz w:val="32"/>
          <w:szCs w:val="32"/>
          <w:highlight w:val="none"/>
        </w:rPr>
        <w:t>号）文件要求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为鼓励企业做大做强，市经信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局制定了《武汉市规模以上工业企业上台阶奖资金管理办法》。现印发给你们，请遵照执行。</w:t>
      </w:r>
    </w:p>
    <w:p>
      <w:pPr>
        <w:autoSpaceDN w:val="0"/>
        <w:spacing w:before="100" w:beforeAutospacing="1" w:after="100" w:afterAutospacing="1"/>
        <w:rPr>
          <w:rFonts w:ascii="仿宋_GB2312" w:hAnsi="仿宋" w:eastAsia="仿宋_GB2312"/>
          <w:bCs/>
          <w:sz w:val="32"/>
          <w:szCs w:val="32"/>
        </w:rPr>
      </w:pPr>
    </w:p>
    <w:p>
      <w:pPr>
        <w:autoSpaceDN w:val="0"/>
        <w:spacing w:before="100" w:beforeAutospacing="1" w:after="100" w:afterAutospacing="1"/>
        <w:jc w:val="righ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武汉市经济和信息化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</w:t>
      </w:r>
    </w:p>
    <w:p>
      <w:pPr>
        <w:autoSpaceDN w:val="0"/>
        <w:spacing w:before="100" w:beforeAutospacing="1" w:after="100" w:afterAutospacing="1"/>
        <w:jc w:val="righ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201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br w:type="page"/>
      </w:r>
    </w:p>
    <w:p>
      <w:pPr>
        <w:jc w:val="center"/>
        <w:rPr>
          <w:rFonts w:hint="eastAsia" w:eastAsiaTheme="minorEastAsia"/>
          <w:b/>
          <w:bCs/>
          <w:color w:val="333333"/>
          <w:kern w:val="0"/>
          <w:sz w:val="44"/>
          <w:highlight w:val="none"/>
          <w:lang w:eastAsia="zh-CN"/>
        </w:rPr>
      </w:pPr>
      <w:r>
        <w:rPr>
          <w:rFonts w:eastAsiaTheme="minorEastAsia"/>
          <w:b/>
          <w:bCs/>
          <w:color w:val="333333"/>
          <w:kern w:val="0"/>
          <w:sz w:val="44"/>
          <w:highlight w:val="none"/>
        </w:rPr>
        <w:t>武汉市</w:t>
      </w:r>
      <w:r>
        <w:rPr>
          <w:rFonts w:hint="eastAsia" w:eastAsiaTheme="minorEastAsia"/>
          <w:b/>
          <w:bCs/>
          <w:color w:val="333333"/>
          <w:kern w:val="0"/>
          <w:sz w:val="44"/>
          <w:highlight w:val="none"/>
          <w:lang w:eastAsia="zh-CN"/>
        </w:rPr>
        <w:t>规模以上工业企业</w:t>
      </w:r>
    </w:p>
    <w:p>
      <w:pPr>
        <w:jc w:val="center"/>
        <w:rPr>
          <w:rFonts w:hint="eastAsia" w:eastAsiaTheme="minorEastAsia"/>
          <w:b/>
          <w:bCs/>
          <w:color w:val="333333"/>
          <w:kern w:val="0"/>
          <w:sz w:val="44"/>
          <w:highlight w:val="none"/>
        </w:rPr>
      </w:pPr>
      <w:r>
        <w:rPr>
          <w:rFonts w:hint="eastAsia" w:eastAsiaTheme="minorEastAsia"/>
          <w:b/>
          <w:bCs/>
          <w:color w:val="333333"/>
          <w:kern w:val="0"/>
          <w:sz w:val="44"/>
          <w:highlight w:val="none"/>
          <w:lang w:eastAsia="zh-CN"/>
        </w:rPr>
        <w:t>上台阶奖资金</w:t>
      </w:r>
      <w:r>
        <w:rPr>
          <w:rFonts w:hint="eastAsia" w:eastAsiaTheme="minorEastAsia"/>
          <w:b/>
          <w:bCs/>
          <w:color w:val="333333"/>
          <w:kern w:val="0"/>
          <w:sz w:val="44"/>
          <w:highlight w:val="none"/>
        </w:rPr>
        <w:t>管理办法</w:t>
      </w:r>
    </w:p>
    <w:p>
      <w:pPr>
        <w:spacing w:line="600" w:lineRule="exact"/>
        <w:ind w:firstLine="656" w:firstLineChars="205"/>
        <w:rPr>
          <w:rFonts w:eastAsia="仿宋_GB2312"/>
          <w:sz w:val="32"/>
          <w:szCs w:val="32"/>
          <w:highlight w:val="none"/>
        </w:rPr>
      </w:pPr>
    </w:p>
    <w:p>
      <w:pPr>
        <w:spacing w:line="600" w:lineRule="exact"/>
        <w:ind w:firstLine="656" w:firstLineChars="205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根据《市人民政府关于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印发武汉市实施“万千百工程”推进制造业高质量发展行动方案的通知</w:t>
      </w:r>
      <w:r>
        <w:rPr>
          <w:rFonts w:eastAsia="仿宋_GB2312"/>
          <w:sz w:val="32"/>
          <w:szCs w:val="32"/>
          <w:highlight w:val="none"/>
        </w:rPr>
        <w:t>》（武政规 [2018]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sz w:val="32"/>
          <w:szCs w:val="32"/>
          <w:highlight w:val="none"/>
        </w:rPr>
        <w:t>号）文件要求，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为鼓励企业做大做强，对主营业务收入首次达到一定规模的规模以上工业企业，给予主营业务收入上台阶奖励。</w:t>
      </w:r>
      <w:r>
        <w:rPr>
          <w:rFonts w:eastAsia="仿宋_GB2312"/>
          <w:sz w:val="32"/>
          <w:szCs w:val="32"/>
          <w:highlight w:val="none"/>
        </w:rPr>
        <w:t>按照公正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公平、规范合法、权责对等、有效监督的原则，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规范奖励资金的使用和管理，特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制定规模以上工业企业上台阶奖励资金管理办法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Style w:val="6"/>
        <w:jc w:val="center"/>
        <w:rPr>
          <w:rFonts w:ascii="Times New Roman" w:hAnsi="Times New Roman" w:eastAsia="黑体" w:cs="Times New Roman"/>
          <w:kern w:val="2"/>
          <w:sz w:val="32"/>
          <w:highlight w:val="none"/>
        </w:rPr>
      </w:pPr>
      <w:r>
        <w:rPr>
          <w:rFonts w:ascii="Times New Roman" w:hAnsi="Times New Roman" w:eastAsia="黑体" w:cs="Times New Roman"/>
          <w:kern w:val="2"/>
          <w:sz w:val="32"/>
          <w:highlight w:val="none"/>
        </w:rPr>
        <w:t>第一章  职责分工</w:t>
      </w:r>
    </w:p>
    <w:p>
      <w:pPr>
        <w:spacing w:line="600" w:lineRule="exact"/>
        <w:ind w:firstLine="656" w:firstLineChars="205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第一条 </w:t>
      </w:r>
      <w:r>
        <w:rPr>
          <w:rFonts w:hint="eastAsia" w:eastAsia="仿宋_GB2312"/>
          <w:sz w:val="32"/>
          <w:szCs w:val="32"/>
          <w:highlight w:val="none"/>
        </w:rPr>
        <w:t>市经信局职责。</w:t>
      </w:r>
    </w:p>
    <w:p>
      <w:pPr>
        <w:spacing w:line="600" w:lineRule="exact"/>
        <w:ind w:firstLine="656" w:firstLineChars="205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市经信局负责制定全市统一的资金管理流程、申报条件、支持标准；编制年度专项资金预算计划；发布资金申报通知，指导各区（开发区）组织企业申报，并组织第三方审计机构对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企业主营业务收入情况</w:t>
      </w:r>
      <w:r>
        <w:rPr>
          <w:rFonts w:eastAsia="仿宋_GB2312"/>
          <w:sz w:val="32"/>
          <w:szCs w:val="32"/>
          <w:highlight w:val="none"/>
        </w:rPr>
        <w:t>进行审核</w:t>
      </w:r>
      <w:r>
        <w:rPr>
          <w:rFonts w:hint="eastAsia" w:eastAsia="仿宋_GB2312"/>
          <w:sz w:val="32"/>
          <w:szCs w:val="32"/>
          <w:highlight w:val="none"/>
        </w:rPr>
        <w:t>；</w:t>
      </w:r>
      <w:r>
        <w:rPr>
          <w:rFonts w:eastAsia="仿宋_GB2312"/>
          <w:sz w:val="32"/>
          <w:szCs w:val="32"/>
          <w:highlight w:val="none"/>
        </w:rPr>
        <w:t>审核完成后，按程序及时将专项资金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拨付到企业</w:t>
      </w:r>
      <w:r>
        <w:rPr>
          <w:rFonts w:eastAsia="仿宋_GB2312"/>
          <w:sz w:val="32"/>
          <w:szCs w:val="32"/>
          <w:highlight w:val="none"/>
        </w:rPr>
        <w:t>；加强专项资金的监督检查与绩效考核。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第二条</w:t>
      </w:r>
      <w:r>
        <w:rPr>
          <w:rFonts w:hint="eastAsia" w:eastAsia="仿宋_GB2312"/>
          <w:sz w:val="32"/>
          <w:szCs w:val="32"/>
          <w:highlight w:val="non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区（开发区）经信部门</w:t>
      </w:r>
      <w:r>
        <w:rPr>
          <w:rFonts w:hint="eastAsia" w:eastAsia="仿宋_GB2312"/>
          <w:sz w:val="32"/>
          <w:szCs w:val="32"/>
          <w:highlight w:val="none"/>
        </w:rPr>
        <w:t>职责。</w:t>
      </w:r>
      <w:r>
        <w:rPr>
          <w:rFonts w:eastAsia="仿宋_GB2312"/>
          <w:sz w:val="32"/>
          <w:szCs w:val="32"/>
          <w:highlight w:val="none"/>
        </w:rPr>
        <w:t xml:space="preserve">  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区（开发区）经信部门负责</w:t>
      </w:r>
      <w:r>
        <w:rPr>
          <w:rFonts w:hint="eastAsia" w:eastAsia="仿宋_GB2312"/>
          <w:sz w:val="32"/>
          <w:szCs w:val="32"/>
          <w:highlight w:val="none"/>
        </w:rPr>
        <w:t>组织企业申报，负责对企业申报资料进行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初审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并行文上报至市经信局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pStyle w:val="6"/>
        <w:jc w:val="center"/>
        <w:rPr>
          <w:rFonts w:ascii="Times New Roman" w:hAnsi="Times New Roman" w:eastAsia="黑体" w:cs="Times New Roman"/>
          <w:kern w:val="2"/>
          <w:sz w:val="32"/>
          <w:highlight w:val="none"/>
        </w:rPr>
      </w:pPr>
      <w:r>
        <w:rPr>
          <w:rFonts w:ascii="Times New Roman" w:hAnsi="Times New Roman" w:eastAsia="黑体" w:cs="Times New Roman"/>
          <w:kern w:val="2"/>
          <w:sz w:val="32"/>
          <w:highlight w:val="none"/>
        </w:rPr>
        <w:t xml:space="preserve">第二章 </w:t>
      </w:r>
      <w:r>
        <w:rPr>
          <w:rFonts w:hint="eastAsia" w:ascii="Times New Roman" w:hAnsi="Times New Roman" w:eastAsia="黑体" w:cs="Times New Roman"/>
          <w:kern w:val="2"/>
          <w:sz w:val="32"/>
          <w:highlight w:val="none"/>
          <w:lang w:eastAsia="zh-CN"/>
        </w:rPr>
        <w:t>奖励</w:t>
      </w:r>
      <w:r>
        <w:rPr>
          <w:rFonts w:ascii="Times New Roman" w:hAnsi="Times New Roman" w:eastAsia="黑体" w:cs="Times New Roman"/>
          <w:kern w:val="2"/>
          <w:sz w:val="32"/>
          <w:highlight w:val="none"/>
        </w:rPr>
        <w:t>条件及</w:t>
      </w:r>
      <w:r>
        <w:rPr>
          <w:rFonts w:hint="eastAsia" w:ascii="Times New Roman" w:hAnsi="Times New Roman" w:eastAsia="黑体" w:cs="Times New Roman"/>
          <w:kern w:val="2"/>
          <w:sz w:val="32"/>
          <w:highlight w:val="none"/>
          <w:lang w:eastAsia="zh-CN"/>
        </w:rPr>
        <w:t>奖励</w:t>
      </w:r>
      <w:r>
        <w:rPr>
          <w:rFonts w:ascii="Times New Roman" w:hAnsi="Times New Roman" w:eastAsia="黑体" w:cs="Times New Roman"/>
          <w:kern w:val="2"/>
          <w:sz w:val="32"/>
          <w:highlight w:val="none"/>
        </w:rPr>
        <w:t>标准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color w:val="333333"/>
          <w:kern w:val="0"/>
          <w:sz w:val="32"/>
          <w:szCs w:val="18"/>
          <w:highlight w:val="none"/>
        </w:rPr>
        <w:t>第</w:t>
      </w:r>
      <w:r>
        <w:rPr>
          <w:rFonts w:eastAsia="仿宋_GB2312"/>
          <w:sz w:val="32"/>
          <w:szCs w:val="32"/>
          <w:highlight w:val="none"/>
        </w:rPr>
        <w:t xml:space="preserve">三条 </w:t>
      </w:r>
      <w:r>
        <w:rPr>
          <w:rFonts w:hint="eastAsia" w:eastAsia="仿宋_GB2312"/>
          <w:sz w:val="32"/>
          <w:szCs w:val="32"/>
          <w:highlight w:val="none"/>
        </w:rPr>
        <w:t>申报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奖励</w:t>
      </w:r>
      <w:r>
        <w:rPr>
          <w:rFonts w:hint="eastAsia" w:eastAsia="仿宋_GB2312"/>
          <w:sz w:val="32"/>
          <w:szCs w:val="32"/>
          <w:highlight w:val="none"/>
        </w:rPr>
        <w:t>企业条件。</w:t>
      </w:r>
    </w:p>
    <w:p>
      <w:pPr>
        <w:widowControl/>
        <w:spacing w:line="432" w:lineRule="auto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自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2018年</w:t>
      </w:r>
      <w:r>
        <w:rPr>
          <w:rFonts w:eastAsia="仿宋_GB2312"/>
          <w:sz w:val="32"/>
          <w:szCs w:val="32"/>
          <w:highlight w:val="none"/>
        </w:rPr>
        <w:t>武政规 [2018]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sz w:val="32"/>
          <w:szCs w:val="32"/>
          <w:highlight w:val="none"/>
        </w:rPr>
        <w:t>号文件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印发以来，企业年度主营业务收入首次超过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10亿元、50亿元、100亿元等三个档次的武汉市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规模以上工业企业。</w:t>
      </w:r>
    </w:p>
    <w:p>
      <w:pPr>
        <w:widowControl/>
        <w:spacing w:line="432" w:lineRule="auto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所说“首次超过”是指企业从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进入武汉市规模以上工业企业统计范围以来，在奖励对应的年度，主营业务收入第一次达到上述规模档次以上。</w:t>
      </w:r>
    </w:p>
    <w:p>
      <w:pPr>
        <w:widowControl/>
        <w:numPr>
          <w:ilvl w:val="0"/>
          <w:numId w:val="1"/>
        </w:numPr>
        <w:spacing w:line="432" w:lineRule="auto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主营业务收入满足条件但不能申报奖励的几种情况。</w:t>
      </w:r>
    </w:p>
    <w:p>
      <w:pPr>
        <w:widowControl/>
        <w:numPr>
          <w:ilvl w:val="0"/>
          <w:numId w:val="0"/>
        </w:numPr>
        <w:spacing w:line="432" w:lineRule="auto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（一）由一家企业拆分为两个及以上企业，拆分后的新企业在拆分当年首次超过以上档次；</w:t>
      </w:r>
    </w:p>
    <w:p>
      <w:pPr>
        <w:widowControl/>
        <w:numPr>
          <w:ilvl w:val="0"/>
          <w:numId w:val="2"/>
        </w:numPr>
        <w:spacing w:line="432" w:lineRule="auto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由两个及以上企业合并为一家企业，合并后的新企业在合并当年未能高于合并前企业档次；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（三）当年已享受市级财政对企业关于主营业务</w:t>
      </w:r>
      <w:r>
        <w:rPr>
          <w:rFonts w:hint="eastAsia" w:eastAsia="仿宋_GB2312"/>
          <w:sz w:val="32"/>
          <w:szCs w:val="32"/>
          <w:highlight w:val="none"/>
        </w:rPr>
        <w:t>收入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相关经营指标上台阶的</w:t>
      </w:r>
      <w:r>
        <w:rPr>
          <w:rFonts w:eastAsia="仿宋_GB2312"/>
          <w:sz w:val="32"/>
          <w:szCs w:val="32"/>
          <w:highlight w:val="none"/>
        </w:rPr>
        <w:t>专项奖励的企业不能重复申报此项奖励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五</w:t>
      </w:r>
      <w:r>
        <w:rPr>
          <w:rFonts w:eastAsia="仿宋_GB2312"/>
          <w:sz w:val="32"/>
          <w:szCs w:val="32"/>
          <w:highlight w:val="none"/>
        </w:rPr>
        <w:t xml:space="preserve">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奖励</w:t>
      </w:r>
      <w:r>
        <w:rPr>
          <w:rFonts w:hint="eastAsia" w:eastAsia="仿宋_GB2312"/>
          <w:sz w:val="32"/>
          <w:szCs w:val="32"/>
          <w:highlight w:val="none"/>
        </w:rPr>
        <w:t>标准。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  <w:lang w:val="en-US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主营业务收入首次超过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10亿元、50亿元、100亿元的企业分别奖励100万元、500万元、1000万元。</w:t>
      </w:r>
    </w:p>
    <w:p>
      <w:pPr>
        <w:pStyle w:val="6"/>
        <w:jc w:val="center"/>
        <w:rPr>
          <w:rFonts w:ascii="Times New Roman" w:hAnsi="Times New Roman" w:eastAsia="黑体" w:cs="Times New Roman"/>
          <w:kern w:val="2"/>
          <w:sz w:val="32"/>
          <w:highlight w:val="none"/>
        </w:rPr>
      </w:pPr>
      <w:r>
        <w:rPr>
          <w:rFonts w:ascii="Times New Roman" w:hAnsi="Times New Roman" w:eastAsia="黑体" w:cs="Times New Roman"/>
          <w:kern w:val="2"/>
          <w:sz w:val="32"/>
          <w:highlight w:val="none"/>
        </w:rPr>
        <w:t xml:space="preserve">第三章 </w:t>
      </w:r>
      <w:r>
        <w:rPr>
          <w:rFonts w:hint="eastAsia" w:ascii="Times New Roman" w:hAnsi="Times New Roman" w:eastAsia="黑体" w:cs="Times New Roman"/>
          <w:kern w:val="2"/>
          <w:sz w:val="32"/>
          <w:highlight w:val="none"/>
          <w:lang w:eastAsia="zh-CN"/>
        </w:rPr>
        <w:t>奖励</w:t>
      </w:r>
      <w:r>
        <w:rPr>
          <w:rFonts w:ascii="Times New Roman" w:hAnsi="Times New Roman" w:eastAsia="黑体" w:cs="Times New Roman"/>
          <w:kern w:val="2"/>
          <w:sz w:val="32"/>
          <w:highlight w:val="none"/>
        </w:rPr>
        <w:t>资金的申报、审核及拨付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六</w:t>
      </w:r>
      <w:r>
        <w:rPr>
          <w:rFonts w:eastAsia="仿宋_GB2312"/>
          <w:sz w:val="32"/>
          <w:szCs w:val="32"/>
          <w:highlight w:val="none"/>
        </w:rPr>
        <w:t>条  发布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上台阶奖励</w:t>
      </w:r>
      <w:r>
        <w:rPr>
          <w:rFonts w:eastAsia="仿宋_GB2312"/>
          <w:sz w:val="32"/>
          <w:szCs w:val="32"/>
          <w:highlight w:val="none"/>
        </w:rPr>
        <w:t>申报通知。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市经信局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每年第三季度</w:t>
      </w:r>
      <w:r>
        <w:rPr>
          <w:rFonts w:eastAsia="仿宋_GB2312"/>
          <w:sz w:val="32"/>
          <w:szCs w:val="32"/>
          <w:highlight w:val="none"/>
        </w:rPr>
        <w:t>在市经信局网站、专项资金项目管理平台等渠道发布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上台阶奖励</w:t>
      </w:r>
      <w:r>
        <w:rPr>
          <w:rFonts w:eastAsia="仿宋_GB2312"/>
          <w:sz w:val="32"/>
          <w:szCs w:val="32"/>
          <w:highlight w:val="none"/>
        </w:rPr>
        <w:t>申报通知。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七</w:t>
      </w:r>
      <w:r>
        <w:rPr>
          <w:rFonts w:eastAsia="仿宋_GB2312"/>
          <w:sz w:val="32"/>
          <w:szCs w:val="32"/>
          <w:highlight w:val="none"/>
        </w:rPr>
        <w:t xml:space="preserve">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上台阶奖励</w:t>
      </w:r>
      <w:r>
        <w:rPr>
          <w:rFonts w:eastAsia="仿宋_GB2312"/>
          <w:sz w:val="32"/>
          <w:szCs w:val="32"/>
          <w:highlight w:val="none"/>
        </w:rPr>
        <w:t>的申报及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初审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  <w:lang w:val="en-US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企业作为项目申报的主体，需提供以下资料：1、武汉市规模以上工业企业上台阶奖励申报表；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2、企业当年度税收清结资料；3、企业当年度财务审计报告；4、企业进规以来在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国家统计局统计联网直报平台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上报的财务报表（含主营业务收入、利润等指标）；5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、主营业务收入</w:t>
      </w:r>
      <w:r>
        <w:rPr>
          <w:rFonts w:eastAsia="仿宋_GB2312"/>
          <w:sz w:val="32"/>
          <w:szCs w:val="32"/>
          <w:highlight w:val="none"/>
        </w:rPr>
        <w:t>等相关财务数据真实性</w:t>
      </w:r>
      <w:r>
        <w:rPr>
          <w:rFonts w:hint="eastAsia" w:eastAsia="仿宋_GB2312"/>
          <w:sz w:val="32"/>
          <w:szCs w:val="32"/>
          <w:highlight w:val="none"/>
        </w:rPr>
        <w:t>及</w:t>
      </w:r>
      <w:r>
        <w:rPr>
          <w:rFonts w:eastAsia="仿宋_GB2312"/>
          <w:sz w:val="32"/>
          <w:szCs w:val="32"/>
          <w:highlight w:val="none"/>
        </w:rPr>
        <w:t>未享受其他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市级类似奖励</w:t>
      </w:r>
      <w:r>
        <w:rPr>
          <w:rFonts w:eastAsia="仿宋_GB2312"/>
          <w:sz w:val="32"/>
          <w:szCs w:val="32"/>
          <w:highlight w:val="none"/>
        </w:rPr>
        <w:t>政策的承诺函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各区（开发区）</w:t>
      </w:r>
      <w:r>
        <w:rPr>
          <w:rFonts w:eastAsia="仿宋_GB2312"/>
          <w:sz w:val="32"/>
          <w:szCs w:val="32"/>
          <w:highlight w:val="none"/>
        </w:rPr>
        <w:t>经信部门负责组织做好辖区内企业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上台阶奖励</w:t>
      </w:r>
      <w:r>
        <w:rPr>
          <w:rFonts w:eastAsia="仿宋_GB2312"/>
          <w:sz w:val="32"/>
          <w:szCs w:val="32"/>
          <w:highlight w:val="none"/>
        </w:rPr>
        <w:t>的申报，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结合企业当年度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税收清结等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资料核查企业主营业务收入情况；</w:t>
      </w:r>
      <w:r>
        <w:rPr>
          <w:rFonts w:eastAsia="仿宋_GB2312"/>
          <w:sz w:val="32"/>
          <w:szCs w:val="32"/>
          <w:highlight w:val="none"/>
        </w:rPr>
        <w:t>核查企业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当</w:t>
      </w:r>
      <w:r>
        <w:rPr>
          <w:rFonts w:eastAsia="仿宋_GB2312"/>
          <w:sz w:val="32"/>
          <w:szCs w:val="32"/>
          <w:highlight w:val="none"/>
        </w:rPr>
        <w:t>年是否通过其他渠道获取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市级财政对其主营业务收入等指标进行奖励</w:t>
      </w:r>
      <w:r>
        <w:rPr>
          <w:rFonts w:eastAsia="仿宋_GB2312"/>
          <w:sz w:val="32"/>
          <w:szCs w:val="32"/>
          <w:highlight w:val="none"/>
        </w:rPr>
        <w:t>类项目的支持</w:t>
      </w:r>
      <w:r>
        <w:rPr>
          <w:rFonts w:hint="eastAsia" w:eastAsia="仿宋_GB2312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初审结果</w:t>
      </w:r>
      <w:r>
        <w:rPr>
          <w:rFonts w:eastAsia="仿宋_GB2312"/>
          <w:sz w:val="32"/>
          <w:szCs w:val="32"/>
          <w:highlight w:val="none"/>
        </w:rPr>
        <w:t>由各区（开发区）在本辖区内进行公示。经公示结束无异议后，将本区（开发区）</w:t>
      </w:r>
      <w:r>
        <w:rPr>
          <w:rFonts w:hint="eastAsia" w:eastAsia="仿宋_GB2312"/>
          <w:sz w:val="32"/>
          <w:szCs w:val="32"/>
          <w:highlight w:val="none"/>
        </w:rPr>
        <w:t>企业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上台阶奖励</w:t>
      </w:r>
      <w:r>
        <w:rPr>
          <w:rFonts w:hint="eastAsia" w:eastAsia="仿宋_GB2312"/>
          <w:sz w:val="32"/>
          <w:szCs w:val="32"/>
          <w:highlight w:val="none"/>
        </w:rPr>
        <w:t>申报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及初审</w:t>
      </w:r>
      <w:r>
        <w:rPr>
          <w:rFonts w:eastAsia="仿宋_GB2312"/>
          <w:sz w:val="32"/>
          <w:szCs w:val="32"/>
          <w:highlight w:val="none"/>
        </w:rPr>
        <w:t>情况并行文上报至市经信局。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八</w:t>
      </w:r>
      <w:r>
        <w:rPr>
          <w:rFonts w:eastAsia="仿宋_GB2312"/>
          <w:sz w:val="32"/>
          <w:szCs w:val="32"/>
          <w:highlight w:val="none"/>
        </w:rPr>
        <w:t xml:space="preserve">条 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上台阶奖励</w:t>
      </w:r>
      <w:r>
        <w:rPr>
          <w:rFonts w:eastAsia="仿宋_GB2312"/>
          <w:sz w:val="32"/>
          <w:szCs w:val="32"/>
          <w:highlight w:val="none"/>
        </w:rPr>
        <w:t>资金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审核及资金分配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市经信局组织第三方审计机构对企业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主营业务收入等情况进行审核，并拟定上台阶奖励</w:t>
      </w:r>
      <w:r>
        <w:rPr>
          <w:rFonts w:eastAsia="仿宋_GB2312"/>
          <w:sz w:val="32"/>
          <w:szCs w:val="32"/>
          <w:highlight w:val="none"/>
        </w:rPr>
        <w:t>资金分配方案</w:t>
      </w:r>
      <w:r>
        <w:rPr>
          <w:rFonts w:hint="eastAsia" w:eastAsia="仿宋_GB2312"/>
          <w:sz w:val="32"/>
          <w:szCs w:val="32"/>
          <w:highlight w:val="none"/>
        </w:rPr>
        <w:t>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奖励</w:t>
      </w:r>
      <w:r>
        <w:rPr>
          <w:rFonts w:eastAsia="仿宋_GB2312"/>
          <w:sz w:val="32"/>
          <w:szCs w:val="32"/>
          <w:highlight w:val="none"/>
        </w:rPr>
        <w:t>资金分配方案</w:t>
      </w:r>
      <w:r>
        <w:rPr>
          <w:rFonts w:hint="eastAsia" w:eastAsia="仿宋_GB2312"/>
          <w:sz w:val="32"/>
          <w:szCs w:val="32"/>
          <w:highlight w:val="none"/>
        </w:rPr>
        <w:t>经规定程序通过后，</w:t>
      </w:r>
      <w:r>
        <w:rPr>
          <w:rFonts w:eastAsia="仿宋_GB2312"/>
          <w:sz w:val="32"/>
          <w:szCs w:val="32"/>
          <w:highlight w:val="none"/>
        </w:rPr>
        <w:t>在市经信局网站、相关专项资金项目管理平台等渠道进行公示。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九</w:t>
      </w:r>
      <w:r>
        <w:rPr>
          <w:rFonts w:eastAsia="仿宋_GB2312"/>
          <w:sz w:val="32"/>
          <w:szCs w:val="32"/>
          <w:highlight w:val="none"/>
        </w:rPr>
        <w:t>条  资金拨付。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资金分配方案经公示结束无异议后，市经信局将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奖励</w:t>
      </w:r>
      <w:r>
        <w:rPr>
          <w:rFonts w:eastAsia="仿宋_GB2312"/>
          <w:sz w:val="32"/>
          <w:szCs w:val="32"/>
          <w:highlight w:val="none"/>
        </w:rPr>
        <w:t>资金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按程序拨付至企业，并</w:t>
      </w:r>
      <w:r>
        <w:rPr>
          <w:rFonts w:eastAsia="仿宋_GB2312"/>
          <w:sz w:val="32"/>
          <w:szCs w:val="32"/>
          <w:highlight w:val="none"/>
        </w:rPr>
        <w:t>将资金拨付情况在市经信局网站、相关专项资金项目管理平台等渠道进行公告。</w:t>
      </w:r>
    </w:p>
    <w:p>
      <w:pPr>
        <w:pStyle w:val="6"/>
        <w:jc w:val="center"/>
        <w:rPr>
          <w:rFonts w:ascii="Times New Roman" w:hAnsi="Times New Roman" w:eastAsia="黑体" w:cs="Times New Roman"/>
          <w:kern w:val="2"/>
          <w:sz w:val="32"/>
          <w:highlight w:val="none"/>
        </w:rPr>
      </w:pPr>
      <w:r>
        <w:rPr>
          <w:rFonts w:ascii="Times New Roman" w:hAnsi="Times New Roman" w:eastAsia="黑体" w:cs="Times New Roman"/>
          <w:kern w:val="2"/>
          <w:sz w:val="32"/>
          <w:highlight w:val="none"/>
        </w:rPr>
        <w:t xml:space="preserve">  第四章  监督检查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十</w:t>
      </w:r>
      <w:r>
        <w:rPr>
          <w:rFonts w:eastAsia="仿宋_GB2312"/>
          <w:sz w:val="32"/>
          <w:szCs w:val="32"/>
          <w:highlight w:val="none"/>
        </w:rPr>
        <w:t>条 市经信局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每年组织</w:t>
      </w:r>
      <w:r>
        <w:rPr>
          <w:rFonts w:eastAsia="仿宋_GB2312"/>
          <w:sz w:val="32"/>
          <w:szCs w:val="32"/>
          <w:highlight w:val="none"/>
        </w:rPr>
        <w:t>对各区（开发区）经信部门项目实施过程的受理、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初审</w:t>
      </w:r>
      <w:r>
        <w:rPr>
          <w:rFonts w:eastAsia="仿宋_GB2312"/>
          <w:sz w:val="32"/>
          <w:szCs w:val="32"/>
          <w:highlight w:val="none"/>
        </w:rPr>
        <w:t>等程序进行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抽查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如发现违规操作，责成相关区（开发区）及时纠正，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情节严重的提请有关部门进行追责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widowControl/>
        <w:spacing w:line="432" w:lineRule="auto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第十一条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在审核过程中，如发现企业提交的相关资料有弄虚作假情况的，取消奖励资格。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二</w:t>
      </w:r>
      <w:r>
        <w:rPr>
          <w:rFonts w:eastAsia="仿宋_GB2312"/>
          <w:sz w:val="32"/>
          <w:szCs w:val="32"/>
          <w:highlight w:val="none"/>
        </w:rPr>
        <w:t>条 市经信局负责配合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有关部门</w:t>
      </w:r>
      <w:r>
        <w:rPr>
          <w:rFonts w:eastAsia="仿宋_GB2312"/>
          <w:sz w:val="32"/>
          <w:szCs w:val="32"/>
          <w:highlight w:val="none"/>
        </w:rPr>
        <w:t>做好本项目资金绩效评价工作。</w:t>
      </w:r>
    </w:p>
    <w:p>
      <w:pPr>
        <w:pStyle w:val="6"/>
        <w:jc w:val="center"/>
        <w:rPr>
          <w:rFonts w:ascii="Times New Roman" w:hAnsi="Times New Roman" w:eastAsia="黑体" w:cs="Times New Roman"/>
          <w:kern w:val="2"/>
          <w:sz w:val="32"/>
          <w:highlight w:val="none"/>
        </w:rPr>
      </w:pPr>
      <w:r>
        <w:rPr>
          <w:rFonts w:ascii="Times New Roman" w:hAnsi="Times New Roman" w:eastAsia="黑体" w:cs="Times New Roman"/>
          <w:kern w:val="2"/>
          <w:sz w:val="32"/>
          <w:highlight w:val="none"/>
        </w:rPr>
        <w:t>第五章 附则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三</w:t>
      </w:r>
      <w:r>
        <w:rPr>
          <w:rFonts w:eastAsia="仿宋_GB2312"/>
          <w:sz w:val="32"/>
          <w:szCs w:val="32"/>
          <w:highlight w:val="none"/>
        </w:rPr>
        <w:t>条  本办法由市经信局负责解释。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第十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四</w:t>
      </w:r>
      <w:r>
        <w:rPr>
          <w:rFonts w:eastAsia="仿宋_GB2312"/>
          <w:sz w:val="32"/>
          <w:szCs w:val="32"/>
          <w:highlight w:val="none"/>
        </w:rPr>
        <w:t>条  本办法自公布之日起30日后</w:t>
      </w:r>
      <w:r>
        <w:rPr>
          <w:rFonts w:eastAsia="仿宋_GB2312"/>
          <w:sz w:val="32"/>
          <w:szCs w:val="32"/>
          <w:highlight w:val="none"/>
        </w:rPr>
        <w:t>施行</w:t>
      </w:r>
      <w:r>
        <w:rPr>
          <w:rFonts w:hint="eastAsia" w:eastAsia="仿宋_GB2312"/>
          <w:sz w:val="32"/>
          <w:szCs w:val="32"/>
          <w:highlight w:val="none"/>
        </w:rPr>
        <w:t>，有效期5年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widowControl/>
        <w:spacing w:line="432" w:lineRule="auto"/>
        <w:ind w:firstLine="800" w:firstLineChars="250"/>
        <w:rPr>
          <w:rFonts w:eastAsia="仿宋_GB2312"/>
          <w:color w:val="333333"/>
          <w:kern w:val="0"/>
          <w:sz w:val="32"/>
          <w:szCs w:val="18"/>
          <w:highlight w:val="none"/>
        </w:rPr>
      </w:pPr>
    </w:p>
    <w:p>
      <w:pPr>
        <w:widowControl/>
        <w:spacing w:line="432" w:lineRule="auto"/>
        <w:jc w:val="left"/>
        <w:rPr>
          <w:rFonts w:eastAsia="仿宋_GB2312"/>
          <w:color w:val="333333"/>
          <w:kern w:val="0"/>
          <w:sz w:val="32"/>
          <w:szCs w:val="18"/>
          <w:highlight w:val="none"/>
        </w:rPr>
      </w:pPr>
    </w:p>
    <w:p>
      <w:pPr>
        <w:widowControl/>
        <w:spacing w:line="432" w:lineRule="auto"/>
        <w:ind w:firstLine="640" w:firstLineChars="200"/>
        <w:rPr>
          <w:rFonts w:eastAsia="仿宋_GB2312"/>
          <w:color w:val="333333"/>
          <w:kern w:val="0"/>
          <w:sz w:val="32"/>
          <w:szCs w:val="18"/>
          <w:highlight w:val="none"/>
        </w:rPr>
      </w:pPr>
      <w:r>
        <w:rPr>
          <w:rFonts w:eastAsia="仿宋_GB2312"/>
          <w:color w:val="333333"/>
          <w:kern w:val="0"/>
          <w:sz w:val="32"/>
          <w:szCs w:val="18"/>
          <w:highlight w:val="none"/>
        </w:rPr>
        <w:t>附</w:t>
      </w:r>
      <w:r>
        <w:rPr>
          <w:rFonts w:hint="eastAsia" w:eastAsia="仿宋_GB2312"/>
          <w:color w:val="333333"/>
          <w:kern w:val="0"/>
          <w:sz w:val="32"/>
          <w:szCs w:val="18"/>
          <w:highlight w:val="none"/>
          <w:lang w:eastAsia="zh-CN"/>
        </w:rPr>
        <w:t>表</w:t>
      </w:r>
      <w:r>
        <w:rPr>
          <w:rFonts w:eastAsia="仿宋_GB2312"/>
          <w:color w:val="333333"/>
          <w:kern w:val="0"/>
          <w:sz w:val="32"/>
          <w:szCs w:val="18"/>
          <w:highlight w:val="none"/>
        </w:rPr>
        <w:t>：</w:t>
      </w:r>
    </w:p>
    <w:p>
      <w:pPr>
        <w:widowControl/>
        <w:spacing w:line="432" w:lineRule="auto"/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《</w:t>
      </w:r>
      <w:r>
        <w:rPr>
          <w:rFonts w:hint="eastAsia" w:eastAsia="仿宋_GB2312"/>
          <w:sz w:val="32"/>
          <w:szCs w:val="32"/>
          <w:highlight w:val="none"/>
        </w:rPr>
        <w:t>武汉市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规模以上</w:t>
      </w:r>
      <w:r>
        <w:rPr>
          <w:rFonts w:hint="eastAsia" w:eastAsia="仿宋_GB2312"/>
          <w:sz w:val="32"/>
          <w:szCs w:val="32"/>
          <w:highlight w:val="none"/>
        </w:rPr>
        <w:t>工业企业上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台阶</w:t>
      </w:r>
      <w:r>
        <w:rPr>
          <w:rFonts w:hint="eastAsia" w:eastAsia="仿宋_GB2312"/>
          <w:sz w:val="32"/>
          <w:szCs w:val="32"/>
          <w:highlight w:val="none"/>
        </w:rPr>
        <w:t>奖励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申报</w:t>
      </w:r>
      <w:r>
        <w:rPr>
          <w:rFonts w:hint="eastAsia" w:eastAsia="仿宋_GB2312"/>
          <w:sz w:val="32"/>
          <w:szCs w:val="32"/>
          <w:highlight w:val="none"/>
        </w:rPr>
        <w:t>表</w:t>
      </w:r>
      <w:r>
        <w:rPr>
          <w:rFonts w:eastAsia="仿宋_GB2312"/>
          <w:sz w:val="32"/>
          <w:szCs w:val="32"/>
          <w:highlight w:val="none"/>
        </w:rPr>
        <w:t>》</w:t>
      </w:r>
    </w:p>
    <w:p>
      <w:pPr>
        <w:widowControl/>
        <w:spacing w:line="0" w:lineRule="atLeast"/>
        <w:rPr>
          <w:rFonts w:eastAsia="仿宋_GB2312"/>
          <w:kern w:val="0"/>
          <w:sz w:val="30"/>
          <w:szCs w:val="30"/>
          <w:highlight w:val="none"/>
        </w:rPr>
      </w:pPr>
      <w:r>
        <w:rPr>
          <w:rFonts w:eastAsia="仿宋_GB2312"/>
          <w:color w:val="333333"/>
          <w:kern w:val="0"/>
          <w:sz w:val="32"/>
          <w:szCs w:val="18"/>
          <w:highlight w:val="none"/>
        </w:rPr>
        <w:br w:type="page"/>
      </w:r>
      <w:bookmarkEnd w:id="0"/>
      <w:r>
        <w:rPr>
          <w:rFonts w:eastAsia="仿宋_GB2312"/>
          <w:kern w:val="0"/>
          <w:sz w:val="30"/>
          <w:szCs w:val="30"/>
          <w:highlight w:val="none"/>
        </w:rPr>
        <w:t>附表</w:t>
      </w:r>
    </w:p>
    <w:p>
      <w:pPr>
        <w:jc w:val="center"/>
        <w:rPr>
          <w:rFonts w:ascii="宋体" w:hAnsi="宋体"/>
          <w:b/>
          <w:sz w:val="44"/>
          <w:szCs w:val="44"/>
          <w:highlight w:val="none"/>
        </w:rPr>
      </w:pPr>
    </w:p>
    <w:p>
      <w:pPr>
        <w:jc w:val="center"/>
        <w:rPr>
          <w:rFonts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武汉市</w:t>
      </w:r>
      <w:r>
        <w:rPr>
          <w:rFonts w:hint="eastAsia" w:ascii="宋体" w:hAnsi="宋体"/>
          <w:b/>
          <w:sz w:val="44"/>
          <w:szCs w:val="44"/>
          <w:highlight w:val="none"/>
          <w:lang w:eastAsia="zh-CN"/>
        </w:rPr>
        <w:t>规模以上</w:t>
      </w:r>
      <w:r>
        <w:rPr>
          <w:rFonts w:hint="eastAsia" w:ascii="宋体" w:hAnsi="宋体"/>
          <w:b/>
          <w:sz w:val="44"/>
          <w:szCs w:val="44"/>
          <w:highlight w:val="none"/>
        </w:rPr>
        <w:t>工业企业上</w:t>
      </w:r>
      <w:r>
        <w:rPr>
          <w:rFonts w:hint="eastAsia" w:ascii="宋体" w:hAnsi="宋体"/>
          <w:b/>
          <w:sz w:val="44"/>
          <w:szCs w:val="44"/>
          <w:highlight w:val="none"/>
          <w:lang w:eastAsia="zh-CN"/>
        </w:rPr>
        <w:t>台阶</w:t>
      </w:r>
      <w:r>
        <w:rPr>
          <w:rFonts w:hint="eastAsia" w:ascii="宋体" w:hAnsi="宋体"/>
          <w:b/>
          <w:sz w:val="44"/>
          <w:szCs w:val="44"/>
          <w:highlight w:val="none"/>
        </w:rPr>
        <w:t>奖励</w:t>
      </w:r>
      <w:r>
        <w:rPr>
          <w:rFonts w:hint="eastAsia" w:ascii="宋体" w:hAnsi="宋体"/>
          <w:b/>
          <w:sz w:val="44"/>
          <w:szCs w:val="44"/>
          <w:highlight w:val="none"/>
          <w:lang w:eastAsia="zh-CN"/>
        </w:rPr>
        <w:t>申报</w:t>
      </w:r>
      <w:r>
        <w:rPr>
          <w:rFonts w:hint="eastAsia" w:ascii="宋体" w:hAnsi="宋体"/>
          <w:b/>
          <w:sz w:val="44"/>
          <w:szCs w:val="44"/>
          <w:highlight w:val="none"/>
        </w:rPr>
        <w:t>表</w:t>
      </w:r>
    </w:p>
    <w:p>
      <w:pPr>
        <w:widowControl/>
        <w:spacing w:line="300" w:lineRule="atLeast"/>
        <w:jc w:val="center"/>
        <w:rPr>
          <w:rFonts w:hint="eastAsia" w:ascii="楷体_GB2312" w:hAnsi="仿宋" w:eastAsia="楷体_GB2312"/>
          <w:sz w:val="30"/>
          <w:szCs w:val="30"/>
          <w:highlight w:val="none"/>
        </w:rPr>
      </w:pPr>
      <w:r>
        <w:rPr>
          <w:rFonts w:hint="eastAsia" w:ascii="楷体_GB2312" w:hAnsi="仿宋" w:eastAsia="楷体_GB2312"/>
          <w:sz w:val="30"/>
          <w:szCs w:val="30"/>
          <w:highlight w:val="none"/>
        </w:rPr>
        <w:t>（</w:t>
      </w:r>
      <w:r>
        <w:rPr>
          <w:rFonts w:hint="eastAsia" w:ascii="楷体_GB2312" w:hAnsi="仿宋" w:eastAsia="楷体_GB2312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楷体_GB2312" w:hAnsi="仿宋" w:eastAsia="楷体_GB2312"/>
          <w:sz w:val="30"/>
          <w:szCs w:val="30"/>
          <w:highlight w:val="none"/>
        </w:rPr>
        <w:t>年</w:t>
      </w:r>
      <w:r>
        <w:rPr>
          <w:rFonts w:hint="eastAsia" w:ascii="楷体_GB2312" w:hAnsi="仿宋" w:eastAsia="楷体_GB2312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楷体_GB2312" w:hAnsi="仿宋" w:eastAsia="楷体_GB2312"/>
          <w:sz w:val="30"/>
          <w:szCs w:val="30"/>
          <w:highlight w:val="none"/>
        </w:rPr>
        <w:t>月）</w:t>
      </w:r>
    </w:p>
    <w:p>
      <w:pPr>
        <w:widowControl/>
        <w:spacing w:line="300" w:lineRule="atLeast"/>
        <w:jc w:val="center"/>
        <w:rPr>
          <w:rFonts w:hint="eastAsia" w:ascii="楷体_GB2312" w:hAnsi="仿宋" w:eastAsia="楷体_GB2312"/>
          <w:sz w:val="30"/>
          <w:szCs w:val="30"/>
          <w:highlight w:val="none"/>
        </w:rPr>
      </w:pPr>
    </w:p>
    <w:p>
      <w:pPr>
        <w:widowControl/>
        <w:spacing w:line="300" w:lineRule="atLeast"/>
        <w:ind w:right="420"/>
        <w:jc w:val="center"/>
        <w:rPr>
          <w:rFonts w:ascii="仿宋" w:hAnsi="仿宋" w:eastAsia="仿宋"/>
          <w:b/>
          <w:szCs w:val="21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</w:rPr>
        <w:t xml:space="preserve">                                               </w:t>
      </w:r>
    </w:p>
    <w:tbl>
      <w:tblPr>
        <w:tblStyle w:val="9"/>
        <w:tblW w:w="9840" w:type="dxa"/>
        <w:jc w:val="center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803"/>
        <w:gridCol w:w="2040"/>
        <w:gridCol w:w="300"/>
        <w:gridCol w:w="875"/>
        <w:gridCol w:w="1248"/>
        <w:gridCol w:w="262"/>
        <w:gridCol w:w="658"/>
        <w:gridCol w:w="14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9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3E3E3E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  <w:highlight w:val="none"/>
                <w:lang w:val="en-US" w:eastAsia="zh-CN"/>
              </w:rPr>
              <w:t>一、企业基本信息及生产情况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企业名称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（盖章）</w:t>
            </w:r>
          </w:p>
        </w:tc>
        <w:tc>
          <w:tcPr>
            <w:tcW w:w="3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企业法定代表人</w:t>
            </w: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企业地址</w:t>
            </w:r>
          </w:p>
        </w:tc>
        <w:tc>
          <w:tcPr>
            <w:tcW w:w="384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银行账号</w:t>
            </w:r>
          </w:p>
        </w:tc>
        <w:tc>
          <w:tcPr>
            <w:tcW w:w="384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开户银行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清算行号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0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企业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lang w:eastAsia="zh-CN"/>
              </w:rPr>
              <w:t>近三年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主要财务指标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年</w:t>
            </w:r>
          </w:p>
        </w:tc>
        <w:tc>
          <w:tcPr>
            <w:tcW w:w="238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3E3E3E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0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lang w:eastAsia="zh-CN"/>
              </w:rPr>
              <w:t>主营业务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收入（万元）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0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2、工业总产值（万元）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  <w:highlight w:val="none"/>
              </w:rPr>
              <w:t>二、企业奖励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  <w:highlight w:val="none"/>
                <w:lang w:eastAsia="zh-CN"/>
              </w:rPr>
              <w:t>建议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  <w:highlight w:val="none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经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lang w:eastAsia="zh-CN"/>
              </w:rPr>
              <w:t>区（开发区）经信部门审核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，该企业符合上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lang w:eastAsia="zh-CN"/>
              </w:rPr>
              <w:t>台阶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奖励条件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lang w:eastAsia="zh-CN"/>
              </w:rPr>
              <w:t>，建议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奖励金额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万元（大写：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元）。</w:t>
            </w:r>
          </w:p>
          <w:p>
            <w:pPr>
              <w:widowControl/>
              <w:spacing w:line="300" w:lineRule="atLeast"/>
              <w:ind w:left="1365" w:leftChars="150" w:hanging="1050" w:hangingChars="500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  <w:highlight w:val="none"/>
              </w:rPr>
              <w:t>三、区（开发区）经信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  <w:highlight w:val="none"/>
                <w:lang w:eastAsia="zh-CN"/>
              </w:rPr>
              <w:t>部门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  <w:highlight w:val="none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highlight w:val="none"/>
              </w:rPr>
              <w:t>年      月      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ascii="宋体" w:hAnsi="宋体" w:cs="宋体"/>
                <w:color w:val="3E3E3E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spacing w:line="0" w:lineRule="atLeast"/>
        <w:rPr>
          <w:kern w:val="0"/>
          <w:highlight w:val="none"/>
        </w:rPr>
      </w:pPr>
    </w:p>
    <w:p>
      <w:pPr>
        <w:widowControl/>
        <w:spacing w:line="0" w:lineRule="atLeast"/>
        <w:rPr>
          <w:rFonts w:hint="eastAsia"/>
          <w:kern w:val="0"/>
          <w:highlight w:val="none"/>
        </w:rPr>
      </w:pPr>
      <w:r>
        <w:rPr>
          <w:rFonts w:hint="eastAsia"/>
          <w:kern w:val="0"/>
          <w:highlight w:val="none"/>
        </w:rPr>
        <w:t>注：</w:t>
      </w:r>
      <w:r>
        <w:rPr>
          <w:rFonts w:hint="eastAsia"/>
          <w:kern w:val="0"/>
          <w:highlight w:val="none"/>
          <w:lang w:val="en-US" w:eastAsia="zh-CN"/>
        </w:rPr>
        <w:t>1、</w:t>
      </w:r>
      <w:r>
        <w:rPr>
          <w:rFonts w:hint="eastAsia"/>
          <w:kern w:val="0"/>
          <w:highlight w:val="none"/>
        </w:rPr>
        <w:t>企业基本信息及第一部分由企业填写；</w:t>
      </w:r>
    </w:p>
    <w:p>
      <w:pPr>
        <w:widowControl/>
        <w:spacing w:line="0" w:lineRule="atLeast"/>
        <w:ind w:firstLine="420" w:firstLineChars="200"/>
        <w:rPr>
          <w:rFonts w:hint="eastAsia"/>
          <w:kern w:val="0"/>
          <w:highlight w:val="none"/>
          <w:lang w:eastAsia="zh-CN"/>
        </w:rPr>
      </w:pPr>
      <w:r>
        <w:rPr>
          <w:rFonts w:hint="eastAsia"/>
          <w:kern w:val="0"/>
          <w:highlight w:val="none"/>
          <w:lang w:val="en-US" w:eastAsia="zh-CN"/>
        </w:rPr>
        <w:t>2、</w:t>
      </w:r>
      <w:r>
        <w:rPr>
          <w:rFonts w:hint="eastAsia"/>
          <w:kern w:val="0"/>
          <w:highlight w:val="none"/>
        </w:rPr>
        <w:t>第二</w:t>
      </w:r>
      <w:r>
        <w:rPr>
          <w:rFonts w:hint="eastAsia"/>
          <w:kern w:val="0"/>
          <w:highlight w:val="none"/>
          <w:lang w:eastAsia="zh-CN"/>
        </w:rPr>
        <w:t>、三</w:t>
      </w:r>
      <w:r>
        <w:rPr>
          <w:rFonts w:hint="eastAsia"/>
          <w:kern w:val="0"/>
          <w:highlight w:val="none"/>
        </w:rPr>
        <w:t>部分由区（开发区）经信部门填写</w:t>
      </w:r>
      <w:r>
        <w:rPr>
          <w:rFonts w:hint="eastAsia"/>
          <w:kern w:val="0"/>
          <w:highlight w:val="none"/>
          <w:lang w:eastAsia="zh-CN"/>
        </w:rPr>
        <w:t>；</w:t>
      </w:r>
    </w:p>
    <w:p>
      <w:pPr>
        <w:widowControl/>
        <w:spacing w:line="0" w:lineRule="atLeast"/>
        <w:ind w:firstLine="420" w:firstLineChars="200"/>
        <w:rPr>
          <w:rFonts w:hint="default"/>
          <w:kern w:val="0"/>
          <w:highlight w:val="none"/>
        </w:rPr>
      </w:pPr>
      <w:r>
        <w:rPr>
          <w:rFonts w:hint="eastAsia"/>
          <w:kern w:val="0"/>
          <w:highlight w:val="none"/>
          <w:lang w:val="en-US" w:eastAsia="zh-CN"/>
        </w:rPr>
        <w:t>3、企业自进规以来其他年份主营业务收入财务指标另行附表。</w:t>
      </w:r>
    </w:p>
    <w:p>
      <w:pPr>
        <w:widowControl/>
        <w:spacing w:line="432" w:lineRule="auto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5A9D4A"/>
    <w:multiLevelType w:val="singleLevel"/>
    <w:tmpl w:val="C95A9D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80E318"/>
    <w:multiLevelType w:val="singleLevel"/>
    <w:tmpl w:val="0380E318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42AC8C0A"/>
    <w:multiLevelType w:val="singleLevel"/>
    <w:tmpl w:val="42AC8C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AE"/>
    <w:rsid w:val="000440E5"/>
    <w:rsid w:val="000945FB"/>
    <w:rsid w:val="000A326B"/>
    <w:rsid w:val="000F40E7"/>
    <w:rsid w:val="00116C84"/>
    <w:rsid w:val="0014791A"/>
    <w:rsid w:val="00163DF0"/>
    <w:rsid w:val="00197FE5"/>
    <w:rsid w:val="001B12E8"/>
    <w:rsid w:val="001E5F99"/>
    <w:rsid w:val="001F6436"/>
    <w:rsid w:val="00207FBE"/>
    <w:rsid w:val="00212BB7"/>
    <w:rsid w:val="0027415E"/>
    <w:rsid w:val="00294708"/>
    <w:rsid w:val="002C6EE7"/>
    <w:rsid w:val="002C7968"/>
    <w:rsid w:val="00313CE5"/>
    <w:rsid w:val="00395FBF"/>
    <w:rsid w:val="003D62C1"/>
    <w:rsid w:val="003D65F8"/>
    <w:rsid w:val="003F0222"/>
    <w:rsid w:val="0042601C"/>
    <w:rsid w:val="004301F0"/>
    <w:rsid w:val="00483F7B"/>
    <w:rsid w:val="00486ED8"/>
    <w:rsid w:val="004C5955"/>
    <w:rsid w:val="004D6596"/>
    <w:rsid w:val="004F02A7"/>
    <w:rsid w:val="005217C9"/>
    <w:rsid w:val="00590C7D"/>
    <w:rsid w:val="005A26BE"/>
    <w:rsid w:val="005C6D2D"/>
    <w:rsid w:val="00604F74"/>
    <w:rsid w:val="00646DAD"/>
    <w:rsid w:val="00680349"/>
    <w:rsid w:val="00693BBD"/>
    <w:rsid w:val="00694D91"/>
    <w:rsid w:val="006A5208"/>
    <w:rsid w:val="006A720C"/>
    <w:rsid w:val="006D3FF1"/>
    <w:rsid w:val="00704A89"/>
    <w:rsid w:val="00714E97"/>
    <w:rsid w:val="00732F10"/>
    <w:rsid w:val="00743723"/>
    <w:rsid w:val="00747002"/>
    <w:rsid w:val="007562AE"/>
    <w:rsid w:val="007626EE"/>
    <w:rsid w:val="0077134D"/>
    <w:rsid w:val="007C58D0"/>
    <w:rsid w:val="007D3AE9"/>
    <w:rsid w:val="00803291"/>
    <w:rsid w:val="00834125"/>
    <w:rsid w:val="00836B05"/>
    <w:rsid w:val="00841183"/>
    <w:rsid w:val="008507E9"/>
    <w:rsid w:val="00857A7A"/>
    <w:rsid w:val="00861DF3"/>
    <w:rsid w:val="008C3624"/>
    <w:rsid w:val="008D3500"/>
    <w:rsid w:val="008D42FF"/>
    <w:rsid w:val="00915E8D"/>
    <w:rsid w:val="009160FB"/>
    <w:rsid w:val="00956ED0"/>
    <w:rsid w:val="00975D40"/>
    <w:rsid w:val="009778D9"/>
    <w:rsid w:val="00990E7F"/>
    <w:rsid w:val="009A404F"/>
    <w:rsid w:val="009B6C92"/>
    <w:rsid w:val="009C6B63"/>
    <w:rsid w:val="009D3AE4"/>
    <w:rsid w:val="009D4252"/>
    <w:rsid w:val="009D6CD4"/>
    <w:rsid w:val="00A04491"/>
    <w:rsid w:val="00A22AAE"/>
    <w:rsid w:val="00A30D4F"/>
    <w:rsid w:val="00A65019"/>
    <w:rsid w:val="00A714B7"/>
    <w:rsid w:val="00A7315D"/>
    <w:rsid w:val="00AD4A96"/>
    <w:rsid w:val="00AD4E2B"/>
    <w:rsid w:val="00AF1B31"/>
    <w:rsid w:val="00B1313B"/>
    <w:rsid w:val="00B15606"/>
    <w:rsid w:val="00B1675D"/>
    <w:rsid w:val="00B207E7"/>
    <w:rsid w:val="00B46767"/>
    <w:rsid w:val="00B54238"/>
    <w:rsid w:val="00B5792B"/>
    <w:rsid w:val="00B63EF7"/>
    <w:rsid w:val="00B815CA"/>
    <w:rsid w:val="00C621C4"/>
    <w:rsid w:val="00C90476"/>
    <w:rsid w:val="00CB3DC8"/>
    <w:rsid w:val="00CF3A9B"/>
    <w:rsid w:val="00D64BB4"/>
    <w:rsid w:val="00D76108"/>
    <w:rsid w:val="00DB6E6B"/>
    <w:rsid w:val="00DE023F"/>
    <w:rsid w:val="00DE6599"/>
    <w:rsid w:val="00E0110C"/>
    <w:rsid w:val="00E116E6"/>
    <w:rsid w:val="00E81C13"/>
    <w:rsid w:val="00E86427"/>
    <w:rsid w:val="00E96D99"/>
    <w:rsid w:val="00ED0565"/>
    <w:rsid w:val="00ED41ED"/>
    <w:rsid w:val="00EE32E5"/>
    <w:rsid w:val="00EE7E1C"/>
    <w:rsid w:val="00EF336E"/>
    <w:rsid w:val="00F417F1"/>
    <w:rsid w:val="00FE26DD"/>
    <w:rsid w:val="03044FDA"/>
    <w:rsid w:val="03E20E31"/>
    <w:rsid w:val="0E81204A"/>
    <w:rsid w:val="0E8A48E5"/>
    <w:rsid w:val="0EDD1098"/>
    <w:rsid w:val="0F3710D8"/>
    <w:rsid w:val="13C914B4"/>
    <w:rsid w:val="14C117E8"/>
    <w:rsid w:val="164A6E2F"/>
    <w:rsid w:val="16C60D08"/>
    <w:rsid w:val="18D8427A"/>
    <w:rsid w:val="19C13A6A"/>
    <w:rsid w:val="1B0B3429"/>
    <w:rsid w:val="1B8F2C4C"/>
    <w:rsid w:val="1C35105F"/>
    <w:rsid w:val="1E1E770E"/>
    <w:rsid w:val="20FC55D6"/>
    <w:rsid w:val="25AC087B"/>
    <w:rsid w:val="269E5FB3"/>
    <w:rsid w:val="2CD61E4B"/>
    <w:rsid w:val="2FC52265"/>
    <w:rsid w:val="31697C9C"/>
    <w:rsid w:val="327D0B52"/>
    <w:rsid w:val="337C1F1C"/>
    <w:rsid w:val="37196FE9"/>
    <w:rsid w:val="38EB2503"/>
    <w:rsid w:val="3A924D81"/>
    <w:rsid w:val="3B472E7F"/>
    <w:rsid w:val="3BC16638"/>
    <w:rsid w:val="3D4F2A63"/>
    <w:rsid w:val="3D61179D"/>
    <w:rsid w:val="3D850F5B"/>
    <w:rsid w:val="3DB47ED8"/>
    <w:rsid w:val="3DE8005F"/>
    <w:rsid w:val="401052AA"/>
    <w:rsid w:val="442A0B4C"/>
    <w:rsid w:val="45372857"/>
    <w:rsid w:val="47B27EF5"/>
    <w:rsid w:val="48A9175A"/>
    <w:rsid w:val="496A20B4"/>
    <w:rsid w:val="4B3563BC"/>
    <w:rsid w:val="4B3F7DD0"/>
    <w:rsid w:val="4BDA3B24"/>
    <w:rsid w:val="4D1F018B"/>
    <w:rsid w:val="4DA17DCE"/>
    <w:rsid w:val="4FDA4860"/>
    <w:rsid w:val="500A52F9"/>
    <w:rsid w:val="5071473E"/>
    <w:rsid w:val="521D7C21"/>
    <w:rsid w:val="54BA6644"/>
    <w:rsid w:val="551B4D89"/>
    <w:rsid w:val="55F11F3A"/>
    <w:rsid w:val="57885CDA"/>
    <w:rsid w:val="583A1FDC"/>
    <w:rsid w:val="59F37C6E"/>
    <w:rsid w:val="5C9E5ACB"/>
    <w:rsid w:val="5F9A1102"/>
    <w:rsid w:val="61645DB1"/>
    <w:rsid w:val="62660BA5"/>
    <w:rsid w:val="65667691"/>
    <w:rsid w:val="69A06C0F"/>
    <w:rsid w:val="6C1F544B"/>
    <w:rsid w:val="6E3D2B20"/>
    <w:rsid w:val="6EA80412"/>
    <w:rsid w:val="70C71DCA"/>
    <w:rsid w:val="711D623D"/>
    <w:rsid w:val="73952F75"/>
    <w:rsid w:val="73D51373"/>
    <w:rsid w:val="740A24DB"/>
    <w:rsid w:val="78DA4DAA"/>
    <w:rsid w:val="795A0E86"/>
    <w:rsid w:val="796147F2"/>
    <w:rsid w:val="7A3D0369"/>
    <w:rsid w:val="7AC07F4C"/>
    <w:rsid w:val="7B6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" w:eastAsia="仿宋_GB2312" w:cs="Arial Unicode M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207</Words>
  <Characters>1184</Characters>
  <Lines>9</Lines>
  <Paragraphs>2</Paragraphs>
  <TotalTime>16</TotalTime>
  <ScaleCrop>false</ScaleCrop>
  <LinksUpToDate>false</LinksUpToDate>
  <CharactersWithSpaces>1389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2016-08-05T03:35:00Z</dcterms:created>
  <dc:creator>User</dc:creator>
  <cp:lastModifiedBy>Administrator</cp:lastModifiedBy>
  <cp:lastPrinted>2019-12-30T02:45:43Z</cp:lastPrinted>
  <dcterms:modified xsi:type="dcterms:W3CDTF">2019-12-30T03:17:28Z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