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4475C">
      <w:pPr>
        <w:spacing w:before="0" w:after="0" w:line="560" w:lineRule="exact"/>
        <w:jc w:val="left"/>
        <w:rPr>
          <w:rFonts w:hint="eastAsia" w:eastAsia="黑体"/>
          <w:lang w:eastAsia="zh-CN"/>
        </w:rPr>
      </w:pPr>
      <w:r>
        <w:rPr>
          <w:rFonts w:ascii="Times New Roman" w:hAnsi="Times New Roman" w:eastAsia="黑体"/>
          <w:b w:val="0"/>
          <w:sz w:val="32"/>
        </w:rPr>
        <w:t>附件</w:t>
      </w:r>
      <w:r>
        <w:rPr>
          <w:rFonts w:hint="eastAsia" w:ascii="Times New Roman" w:hAnsi="Times New Roman" w:eastAsia="黑体"/>
          <w:b w:val="0"/>
          <w:sz w:val="32"/>
          <w:lang w:val="en-US" w:eastAsia="zh-CN"/>
        </w:rPr>
        <w:t>1</w:t>
      </w:r>
    </w:p>
    <w:p w14:paraId="07BC03D1"/>
    <w:p w14:paraId="098A2E9D">
      <w:pPr>
        <w:spacing w:before="0" w:after="0" w:line="560" w:lineRule="exact"/>
        <w:jc w:val="center"/>
        <w:rPr>
          <w:rFonts w:hint="default" w:eastAsia="方正小标宋简体"/>
          <w:lang w:val="en-US" w:eastAsia="zh-CN"/>
        </w:rPr>
      </w:pPr>
      <w:r>
        <w:rPr>
          <w:rFonts w:ascii="Times New Roman" w:hAnsi="Times New Roman" w:eastAsia="方正小标宋简体"/>
          <w:b w:val="0"/>
          <w:sz w:val="44"/>
        </w:rPr>
        <w:t>“数智贷”专项金融产品</w:t>
      </w:r>
      <w:r>
        <w:rPr>
          <w:rFonts w:hint="eastAsia" w:ascii="Times New Roman" w:hAnsi="Times New Roman" w:eastAsia="方正小标宋简体"/>
          <w:b w:val="0"/>
          <w:sz w:val="44"/>
          <w:lang w:val="en-US" w:eastAsia="zh-CN"/>
        </w:rPr>
        <w:t>基本要求</w:t>
      </w:r>
    </w:p>
    <w:p w14:paraId="2262FE3F">
      <w:pPr>
        <w:spacing w:before="0" w:after="0" w:line="560" w:lineRule="exact"/>
        <w:ind w:firstLine="640" w:firstLineChars="200"/>
        <w:jc w:val="both"/>
        <w:rPr>
          <w:rFonts w:ascii="Times New Roman" w:hAnsi="Times New Roman" w:eastAsia="仿宋_GB2312"/>
          <w:b w:val="0"/>
          <w:sz w:val="32"/>
        </w:rPr>
      </w:pPr>
    </w:p>
    <w:p w14:paraId="37337408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仿宋_GB2312"/>
          <w:b w:val="0"/>
          <w:sz w:val="32"/>
        </w:rPr>
        <w:t>“数智贷”专项金融产品</w:t>
      </w:r>
      <w:r>
        <w:rPr>
          <w:rFonts w:hint="eastAsia" w:ascii="Times New Roman" w:hAnsi="Times New Roman"/>
          <w:b w:val="0"/>
          <w:sz w:val="32"/>
          <w:lang w:eastAsia="zh-CN"/>
        </w:rPr>
        <w:t>，应</w:t>
      </w:r>
      <w:r>
        <w:rPr>
          <w:rFonts w:ascii="Times New Roman" w:hAnsi="Times New Roman" w:eastAsia="仿宋_GB2312"/>
          <w:b w:val="0"/>
          <w:sz w:val="32"/>
        </w:rPr>
        <w:t>满足</w:t>
      </w:r>
      <w:r>
        <w:rPr>
          <w:rFonts w:hint="eastAsia" w:ascii="Times New Roman" w:hAnsi="Times New Roman"/>
          <w:b w:val="0"/>
          <w:sz w:val="32"/>
          <w:lang w:val="en-US" w:eastAsia="zh-CN"/>
        </w:rPr>
        <w:t>以下</w:t>
      </w:r>
      <w:r>
        <w:rPr>
          <w:rFonts w:ascii="Times New Roman" w:hAnsi="Times New Roman" w:eastAsia="仿宋_GB2312"/>
          <w:b w:val="0"/>
          <w:sz w:val="32"/>
        </w:rPr>
        <w:t>基本条件。</w:t>
      </w:r>
    </w:p>
    <w:p w14:paraId="0D52E1DE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黑体"/>
          <w:b w:val="0"/>
          <w:sz w:val="32"/>
        </w:rPr>
        <w:t>一、利率定价</w:t>
      </w:r>
    </w:p>
    <w:p w14:paraId="25CE56AD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仿宋_GB2312"/>
          <w:b w:val="0"/>
          <w:sz w:val="32"/>
        </w:rPr>
        <w:t>银行贷款利率原则上不高于同期贷款市场报价利率（LPR）加100个基点，且应低于本机构同类中小微型企业一般流动资金贷款平均利率；融资租赁等非信贷产品的综合定价参照上述标准合理确定。鼓励对</w:t>
      </w:r>
      <w:r>
        <w:rPr>
          <w:rFonts w:hint="eastAsia" w:ascii="Times New Roman" w:hAnsi="Times New Roman" w:eastAsia="仿宋_GB2312"/>
          <w:b w:val="0"/>
          <w:sz w:val="32"/>
        </w:rPr>
        <w:t>数智化</w:t>
      </w:r>
      <w:r>
        <w:rPr>
          <w:rFonts w:ascii="Times New Roman" w:hAnsi="Times New Roman" w:eastAsia="仿宋_GB2312"/>
          <w:b w:val="0"/>
          <w:sz w:val="32"/>
        </w:rPr>
        <w:t>转型企业在风险可控前提下执行LPR基础利率或适度减点定价，切实降低企业融资成本。</w:t>
      </w:r>
    </w:p>
    <w:p w14:paraId="70402E6E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黑体"/>
          <w:b w:val="0"/>
          <w:sz w:val="32"/>
        </w:rPr>
        <w:t>二、担保方式</w:t>
      </w:r>
    </w:p>
    <w:p w14:paraId="2E9AA9E5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仿宋_GB2312"/>
          <w:b w:val="0"/>
          <w:sz w:val="32"/>
        </w:rPr>
        <w:t>打破传统不动产抵押路径依赖，鼓励采取“见贷即保”模式，推动政府性融资担保机构为企业提供增信。支持信用贷款、设备抵押、知识产权质押、应收账款质押、政银担风险共担、供应链金融、企业联保等多种方式，担保费率原则上不超过1%/年，大幅降低企业授</w:t>
      </w:r>
      <w:bookmarkStart w:id="0" w:name="_GoBack"/>
      <w:bookmarkEnd w:id="0"/>
      <w:r>
        <w:rPr>
          <w:rFonts w:ascii="Times New Roman" w:hAnsi="Times New Roman" w:eastAsia="仿宋_GB2312"/>
          <w:b w:val="0"/>
          <w:sz w:val="32"/>
        </w:rPr>
        <w:t>信准入门槛。</w:t>
      </w:r>
    </w:p>
    <w:p w14:paraId="1F539BF9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黑体"/>
          <w:b w:val="0"/>
          <w:sz w:val="32"/>
        </w:rPr>
        <w:t>三、授信额度</w:t>
      </w:r>
    </w:p>
    <w:p w14:paraId="48EC5B68">
      <w:pPr>
        <w:spacing w:before="0" w:after="0" w:line="560" w:lineRule="exact"/>
        <w:ind w:firstLine="640" w:firstLineChars="200"/>
        <w:jc w:val="both"/>
        <w:rPr>
          <w:rFonts w:hint="eastAsia" w:eastAsia="仿宋_GB2312"/>
          <w:lang w:eastAsia="zh-CN"/>
        </w:rPr>
      </w:pPr>
      <w:r>
        <w:rPr>
          <w:rFonts w:ascii="Times New Roman" w:hAnsi="Times New Roman" w:eastAsia="仿宋_GB2312"/>
          <w:b w:val="0"/>
          <w:sz w:val="32"/>
        </w:rPr>
        <w:t>单户授信额度上限应可达1000万元，覆盖软件采购、云服务、网关及传感器部署、工控系统购置及配套设备采购等数智化改造支出。对纳入数智化转型企业清单的企业，最高可按企业改造需求资金的80%核定贷款额度</w:t>
      </w:r>
      <w:r>
        <w:rPr>
          <w:rFonts w:hint="eastAsia" w:ascii="Times New Roman" w:hAnsi="Times New Roman"/>
          <w:b w:val="0"/>
          <w:sz w:val="32"/>
          <w:lang w:eastAsia="zh-CN"/>
        </w:rPr>
        <w:t>。</w:t>
      </w:r>
    </w:p>
    <w:p w14:paraId="4D0189C6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黑体"/>
          <w:b w:val="0"/>
          <w:sz w:val="32"/>
        </w:rPr>
        <w:t>四、审批流程</w:t>
      </w:r>
    </w:p>
    <w:p w14:paraId="2CD6BCFC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仿宋_GB2312"/>
          <w:b w:val="0"/>
          <w:sz w:val="32"/>
        </w:rPr>
        <w:t>开通数智化转型企业授信及融资租赁业务办理绿色通道，对纳入数智化转型企业清单的企业，简化审批材料、压缩办理时限。鼓励金融机构建立数智化融资快速审批机制，开发专属评分卡和授信模型，将企业数字化水平测评结果纳入审批参考因素，提升融资服务效率。</w:t>
      </w:r>
    </w:p>
    <w:p w14:paraId="46B0298B">
      <w:pPr>
        <w:spacing w:before="0" w:after="0" w:line="560" w:lineRule="exact"/>
        <w:ind w:firstLine="640" w:firstLineChars="200"/>
        <w:jc w:val="both"/>
      </w:pPr>
      <w:r>
        <w:rPr>
          <w:rFonts w:ascii="Times New Roman" w:hAnsi="Times New Roman" w:eastAsia="黑体"/>
          <w:b w:val="0"/>
          <w:sz w:val="32"/>
        </w:rPr>
        <w:t>五、政策联动</w:t>
      </w:r>
    </w:p>
    <w:p w14:paraId="2FF17F76">
      <w:pPr>
        <w:spacing w:before="0" w:after="0" w:line="560" w:lineRule="exact"/>
        <w:ind w:firstLine="640" w:firstLineChars="200"/>
        <w:jc w:val="both"/>
        <w:rPr>
          <w:rFonts w:ascii="Times New Roman" w:hAnsi="Times New Roman" w:eastAsia="仿宋_GB2312"/>
          <w:b w:val="0"/>
          <w:sz w:val="32"/>
        </w:rPr>
      </w:pPr>
      <w:r>
        <w:rPr>
          <w:rFonts w:ascii="Times New Roman" w:hAnsi="Times New Roman" w:eastAsia="仿宋_GB2312"/>
          <w:b w:val="0"/>
          <w:sz w:val="32"/>
        </w:rPr>
        <w:t>支持金融机构积极运用人民银行再贷款、再贴现等货币政策工具，单列“数智贷”专项信贷额度，拓宽低成本资金来源，增强可持续投放能力。</w:t>
      </w:r>
    </w:p>
    <w:p w14:paraId="72919E57">
      <w:pPr>
        <w:rPr>
          <w:rFonts w:ascii="Times New Roman" w:hAnsi="Times New Roman" w:eastAsia="仿宋_GB2312"/>
          <w:b w:val="0"/>
          <w:sz w:val="32"/>
        </w:rPr>
      </w:pPr>
      <w:r>
        <w:rPr>
          <w:rFonts w:ascii="Times New Roman" w:hAnsi="Times New Roman" w:eastAsia="仿宋_GB2312"/>
          <w:b w:val="0"/>
          <w:sz w:val="32"/>
        </w:rPr>
        <w:br w:type="page"/>
      </w:r>
    </w:p>
    <w:p w14:paraId="75B92286">
      <w:pPr>
        <w:spacing w:before="0" w:after="120" w:line="560" w:lineRule="exact"/>
        <w:jc w:val="left"/>
        <w:rPr>
          <w:rFonts w:hint="eastAsia" w:ascii="仿宋_GB2312" w:hAnsi="仿宋_GB2312" w:eastAsia="黑体"/>
          <w:lang w:eastAsia="zh-CN"/>
        </w:rPr>
      </w:pPr>
      <w:r>
        <w:rPr>
          <w:rFonts w:ascii="黑体" w:hAnsi="黑体" w:eastAsia="黑体"/>
          <w:b w:val="0"/>
          <w:sz w:val="32"/>
        </w:rPr>
        <w:t>附件</w:t>
      </w:r>
      <w:r>
        <w:rPr>
          <w:rFonts w:hint="eastAsia" w:ascii="黑体" w:hAnsi="黑体" w:eastAsia="黑体"/>
          <w:b w:val="0"/>
          <w:sz w:val="32"/>
          <w:lang w:val="en-US" w:eastAsia="zh-CN"/>
        </w:rPr>
        <w:t>2</w:t>
      </w:r>
    </w:p>
    <w:p w14:paraId="1E6BD27E">
      <w:pPr>
        <w:spacing w:before="0" w:after="120" w:line="720" w:lineRule="exact"/>
        <w:jc w:val="center"/>
        <w:rPr>
          <w:rFonts w:ascii="仿宋_GB2312" w:hAnsi="仿宋_GB2312" w:eastAsia="仿宋_GB2312"/>
        </w:rPr>
      </w:pPr>
      <w:r>
        <w:rPr>
          <w:rFonts w:ascii="方正小标宋简体" w:hAnsi="方正小标宋简体" w:eastAsia="方正小标宋简体"/>
          <w:b w:val="0"/>
          <w:sz w:val="44"/>
        </w:rPr>
        <w:t>“数智贷”产品申报表</w:t>
      </w:r>
    </w:p>
    <w:p w14:paraId="69260A68">
      <w:pPr>
        <w:spacing w:before="0" w:after="160" w:line="400" w:lineRule="exact"/>
        <w:jc w:val="center"/>
        <w:rPr>
          <w:rFonts w:ascii="仿宋_GB2312" w:hAnsi="仿宋_GB2312" w:eastAsia="仿宋_GB2312"/>
        </w:rPr>
      </w:pPr>
      <w:r>
        <w:rPr>
          <w:rFonts w:ascii="仿宋_GB2312" w:hAnsi="仿宋_GB2312" w:eastAsia="仿宋_GB2312"/>
          <w:b w:val="0"/>
          <w:sz w:val="24"/>
        </w:rPr>
        <w:t>（本表一式三份，请如实填报）</w:t>
      </w:r>
    </w:p>
    <w:p w14:paraId="5A3F5BEA">
      <w:pPr>
        <w:spacing w:before="120" w:after="60" w:line="560" w:lineRule="exact"/>
        <w:ind w:firstLine="595"/>
        <w:jc w:val="both"/>
        <w:rPr>
          <w:rFonts w:ascii="仿宋_GB2312" w:hAnsi="仿宋_GB2312" w:eastAsia="仿宋_GB2312"/>
        </w:rPr>
      </w:pPr>
      <w:r>
        <w:rPr>
          <w:rFonts w:ascii="黑体" w:hAnsi="黑体" w:eastAsia="黑体"/>
          <w:b w:val="0"/>
          <w:sz w:val="32"/>
        </w:rPr>
        <w:t>一、申报机构基本信息</w:t>
      </w:r>
    </w:p>
    <w:tbl>
      <w:tblPr>
        <w:tblStyle w:val="33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721"/>
        <w:gridCol w:w="1701"/>
        <w:gridCol w:w="2721"/>
      </w:tblGrid>
      <w:tr w14:paraId="25771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1AD6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机构名称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E59F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1211A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统一社会信用代码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62F5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21A58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77067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机构类型</w:t>
            </w:r>
          </w:p>
        </w:tc>
        <w:tc>
          <w:tcPr>
            <w:tcW w:w="7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1255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  <w:b w:val="0"/>
                <w:sz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□银行　　□金融租赁公司　　□融资租赁公司</w:t>
            </w:r>
          </w:p>
          <w:p w14:paraId="66AA176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□融资担保公司　　□其他　　　　</w:t>
            </w:r>
          </w:p>
        </w:tc>
      </w:tr>
      <w:tr w14:paraId="44C3F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B9CF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注册地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A98E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755FA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联系人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F8C77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58BDB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C1059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联系电话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2EE42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1871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电子邮箱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D126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66020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AD48D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通讯地址</w:t>
            </w:r>
          </w:p>
        </w:tc>
        <w:tc>
          <w:tcPr>
            <w:tcW w:w="7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B75A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</w:tbl>
    <w:p w14:paraId="713A7AE6">
      <w:pPr>
        <w:spacing w:before="120" w:after="60" w:line="560" w:lineRule="exact"/>
        <w:ind w:firstLine="595"/>
        <w:jc w:val="both"/>
        <w:rPr>
          <w:rFonts w:ascii="仿宋_GB2312" w:hAnsi="仿宋_GB2312" w:eastAsia="仿宋_GB2312"/>
        </w:rPr>
      </w:pPr>
      <w:r>
        <w:rPr>
          <w:rFonts w:ascii="黑体" w:hAnsi="黑体" w:eastAsia="黑体"/>
          <w:b w:val="0"/>
          <w:sz w:val="32"/>
        </w:rPr>
        <w:t>二、产品基本信息</w:t>
      </w:r>
    </w:p>
    <w:tbl>
      <w:tblPr>
        <w:tblStyle w:val="33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721"/>
        <w:gridCol w:w="1701"/>
        <w:gridCol w:w="2721"/>
      </w:tblGrid>
      <w:tr w14:paraId="57332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73D6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产品名称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B91A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EE99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融资期限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690F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651EE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0FC4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对应征集方向</w:t>
            </w:r>
          </w:p>
        </w:tc>
        <w:tc>
          <w:tcPr>
            <w:tcW w:w="7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AC145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□（一）数智化转型专项贷款　　□（二）数智化设备融资租赁　　□（三）数智化服务商培育贷　　□（四）供应链数字化融资　　□（五）</w:t>
            </w:r>
            <w:r>
              <w:rPr>
                <w:rFonts w:hint="eastAsia" w:ascii="仿宋_GB2312" w:hAnsi="仿宋_GB2312" w:eastAsia="仿宋_GB2312"/>
                <w:b w:val="0"/>
                <w:sz w:val="32"/>
              </w:rPr>
              <w:t>政银合作专项产品</w:t>
            </w:r>
          </w:p>
        </w:tc>
      </w:tr>
      <w:tr w14:paraId="0CE17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7FDF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产品类型</w:t>
            </w:r>
          </w:p>
        </w:tc>
        <w:tc>
          <w:tcPr>
            <w:tcW w:w="7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5E412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□银行信贷　　□融资租赁　　□供应链金融　□融资担保　　□组合产品</w:t>
            </w:r>
          </w:p>
        </w:tc>
      </w:tr>
      <w:tr w14:paraId="18C12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EB85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产品简介</w:t>
            </w:r>
          </w:p>
        </w:tc>
        <w:tc>
          <w:tcPr>
            <w:tcW w:w="7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ABA6F9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</w:tbl>
    <w:p w14:paraId="3D481EBC">
      <w:pPr>
        <w:spacing w:before="120" w:after="60" w:line="560" w:lineRule="exact"/>
        <w:ind w:firstLine="595"/>
        <w:jc w:val="both"/>
        <w:rPr>
          <w:rFonts w:ascii="仿宋_GB2312" w:hAnsi="仿宋_GB2312" w:eastAsia="仿宋_GB2312"/>
        </w:rPr>
      </w:pPr>
      <w:r>
        <w:rPr>
          <w:rFonts w:ascii="黑体" w:hAnsi="黑体" w:eastAsia="黑体"/>
          <w:b w:val="0"/>
          <w:sz w:val="32"/>
        </w:rPr>
        <w:t>三、产品要素（对应征集条件）</w:t>
      </w:r>
    </w:p>
    <w:tbl>
      <w:tblPr>
        <w:tblStyle w:val="33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6860"/>
      </w:tblGrid>
      <w:tr w14:paraId="75812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876BC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利率／费率</w:t>
            </w:r>
            <w:r>
              <w:rPr>
                <w:rFonts w:ascii="仿宋_GB2312" w:hAnsi="仿宋_GB2312" w:eastAsia="仿宋_GB2312"/>
                <w:b w:val="0"/>
                <w:sz w:val="32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32"/>
              </w:rPr>
              <w:t>定价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150EBC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银行贷款利率：　　　　％；LPR加点：　　　个基点</w:t>
            </w:r>
          </w:p>
          <w:p w14:paraId="069FBEA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综合年化费率（非信贷产品填写）：　　　％</w:t>
            </w:r>
          </w:p>
          <w:p w14:paraId="6B1072A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优惠措施：</w:t>
            </w:r>
          </w:p>
        </w:tc>
      </w:tr>
      <w:tr w14:paraId="262F3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95486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担保方式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575A6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  <w:b w:val="0"/>
                <w:sz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担保方式：□信用贷款　　□设备抵押　　</w:t>
            </w:r>
          </w:p>
          <w:p w14:paraId="574042E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  <w:b w:val="0"/>
                <w:sz w:val="32"/>
              </w:rPr>
            </w:pPr>
            <w:r>
              <w:rPr>
                <w:rFonts w:hint="eastAsia" w:ascii="仿宋_GB2312" w:hAnsi="仿宋_GB2312" w:eastAsia="仿宋_GB2312"/>
                <w:b w:val="0"/>
                <w:sz w:val="32"/>
                <w:lang w:eastAsia="zh-CN"/>
              </w:rPr>
              <w:t>□</w:t>
            </w:r>
            <w:r>
              <w:rPr>
                <w:rFonts w:ascii="仿宋_GB2312" w:hAnsi="仿宋_GB2312" w:eastAsia="仿宋_GB2312"/>
                <w:b w:val="0"/>
                <w:sz w:val="32"/>
              </w:rPr>
              <w:t>知识产权质押　　□应收账款质押　　</w:t>
            </w:r>
          </w:p>
          <w:p w14:paraId="2D297B5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  <w:b w:val="0"/>
                <w:sz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□政银担风险共担　　□供应链金融　</w:t>
            </w:r>
          </w:p>
          <w:p w14:paraId="75EAD37C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□企业联保　　□其他</w:t>
            </w:r>
          </w:p>
          <w:p w14:paraId="1411216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担保费率：　　　％／年</w:t>
            </w:r>
          </w:p>
          <w:p w14:paraId="452BE715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其他增信措施：</w:t>
            </w:r>
          </w:p>
        </w:tc>
      </w:tr>
      <w:tr w14:paraId="25684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51F0C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融资额度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982557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单户融资额度上限：　　　万元</w:t>
            </w:r>
          </w:p>
          <w:p w14:paraId="01216EF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融资期限：　　　</w:t>
            </w:r>
          </w:p>
          <w:p w14:paraId="7D6917B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还款方式：</w:t>
            </w:r>
          </w:p>
        </w:tc>
      </w:tr>
      <w:tr w14:paraId="29C7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9C58D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审批流程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8BEF1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审批时限：　　　</w:t>
            </w:r>
          </w:p>
          <w:p w14:paraId="5F0D03C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绿色通道措施：</w:t>
            </w:r>
          </w:p>
          <w:p w14:paraId="3706DD29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数字化审批手段：</w:t>
            </w:r>
          </w:p>
        </w:tc>
      </w:tr>
      <w:tr w14:paraId="7D2A5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1C336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租赁要素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41D159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（融资租赁产品填写，非租赁产品注明“不适用”）</w:t>
            </w:r>
          </w:p>
          <w:p w14:paraId="05A69A75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综合年化费率：　　　％</w:t>
            </w:r>
          </w:p>
          <w:p w14:paraId="792C34F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业务模式：□直接租赁　□售后回租　□厂商租赁　□其他</w:t>
            </w:r>
          </w:p>
          <w:p w14:paraId="068F451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是否开展“租赁＋贷款”组合融资：□是　□否</w:t>
            </w:r>
          </w:p>
          <w:p w14:paraId="4875848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租后管理措施：</w:t>
            </w:r>
          </w:p>
        </w:tc>
      </w:tr>
      <w:tr w14:paraId="4CFF0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AE0D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政策工具运用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D77DF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  <w:b w:val="0"/>
                <w:sz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□再贷款　□再贴现　□专项信贷额度　</w:t>
            </w:r>
          </w:p>
          <w:p w14:paraId="49DC75A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□其他　　　　</w:t>
            </w:r>
          </w:p>
        </w:tc>
      </w:tr>
    </w:tbl>
    <w:p w14:paraId="07900D95">
      <w:pPr>
        <w:spacing w:before="120" w:after="60" w:line="560" w:lineRule="exact"/>
        <w:ind w:firstLine="595"/>
        <w:jc w:val="both"/>
        <w:rPr>
          <w:rFonts w:ascii="仿宋_GB2312" w:hAnsi="仿宋_GB2312" w:eastAsia="仿宋_GB2312"/>
        </w:rPr>
      </w:pPr>
      <w:r>
        <w:rPr>
          <w:rFonts w:ascii="黑体" w:hAnsi="黑体" w:eastAsia="黑体"/>
          <w:b w:val="0"/>
          <w:sz w:val="32"/>
        </w:rPr>
        <w:t>四、产品预期成效</w:t>
      </w:r>
    </w:p>
    <w:tbl>
      <w:tblPr>
        <w:tblStyle w:val="33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721"/>
        <w:gridCol w:w="1701"/>
        <w:gridCol w:w="2721"/>
      </w:tblGrid>
      <w:tr w14:paraId="05DF3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D77C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预计年度投放规模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3348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　　　万元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59AFA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预计覆盖企业数量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997E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　　　家</w:t>
            </w:r>
          </w:p>
        </w:tc>
      </w:tr>
      <w:tr w14:paraId="30F04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7C23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重点服务领域</w:t>
            </w:r>
          </w:p>
        </w:tc>
        <w:tc>
          <w:tcPr>
            <w:tcW w:w="71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99D55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</w:tbl>
    <w:p w14:paraId="13EBE0C1">
      <w:pPr>
        <w:spacing w:before="120" w:after="60" w:line="560" w:lineRule="exact"/>
        <w:ind w:firstLine="595"/>
        <w:jc w:val="both"/>
        <w:rPr>
          <w:rFonts w:ascii="仿宋_GB2312" w:hAnsi="仿宋_GB2312" w:eastAsia="仿宋_GB2312"/>
        </w:rPr>
      </w:pPr>
      <w:r>
        <w:rPr>
          <w:rFonts w:ascii="黑体" w:hAnsi="黑体" w:eastAsia="黑体"/>
          <w:b w:val="0"/>
          <w:sz w:val="32"/>
        </w:rPr>
        <w:t>五、风险控制措施与服务承诺</w:t>
      </w:r>
    </w:p>
    <w:tbl>
      <w:tblPr>
        <w:tblStyle w:val="33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6860"/>
      </w:tblGrid>
      <w:tr w14:paraId="7CDCB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10977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风险控制措施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349ED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57796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EB876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服务承诺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57ABB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</w:tbl>
    <w:p w14:paraId="50121172">
      <w:pPr>
        <w:spacing w:before="120" w:after="60" w:line="560" w:lineRule="exact"/>
        <w:ind w:firstLine="595"/>
        <w:jc w:val="both"/>
        <w:rPr>
          <w:rFonts w:ascii="仿宋_GB2312" w:hAnsi="仿宋_GB2312" w:eastAsia="仿宋_GB2312"/>
        </w:rPr>
      </w:pPr>
      <w:r>
        <w:rPr>
          <w:rFonts w:ascii="黑体" w:hAnsi="黑体" w:eastAsia="黑体"/>
          <w:b w:val="0"/>
          <w:sz w:val="32"/>
        </w:rPr>
        <w:t>六、机构意见</w:t>
      </w:r>
    </w:p>
    <w:tbl>
      <w:tblPr>
        <w:tblStyle w:val="33"/>
        <w:tblW w:w="88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6860"/>
      </w:tblGrid>
      <w:tr w14:paraId="7C285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B6B76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机构审核意见</w:t>
            </w:r>
          </w:p>
        </w:tc>
        <w:tc>
          <w:tcPr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3DC74A">
            <w:pPr>
              <w:spacing w:before="0" w:after="0" w:line="560" w:lineRule="exact"/>
              <w:jc w:val="left"/>
              <w:rPr>
                <w:rFonts w:ascii="仿宋_GB2312" w:hAnsi="仿宋_GB2312" w:eastAsia="仿宋_GB2312"/>
              </w:rPr>
            </w:pPr>
          </w:p>
          <w:p w14:paraId="60B9273B">
            <w:pPr>
              <w:spacing w:before="0" w:after="0" w:line="560" w:lineRule="exact"/>
              <w:jc w:val="left"/>
              <w:rPr>
                <w:rFonts w:ascii="仿宋_GB2312" w:hAnsi="仿宋_GB2312" w:eastAsia="仿宋_GB2312"/>
              </w:rPr>
            </w:pPr>
          </w:p>
          <w:p w14:paraId="593A21D1">
            <w:pPr>
              <w:spacing w:before="0" w:after="0" w:line="560" w:lineRule="exact"/>
              <w:jc w:val="left"/>
              <w:rPr>
                <w:rFonts w:ascii="仿宋_GB2312" w:hAnsi="仿宋_GB2312" w:eastAsia="仿宋_GB2312"/>
              </w:rPr>
            </w:pPr>
          </w:p>
          <w:p w14:paraId="02B6CC47">
            <w:pPr>
              <w:spacing w:before="0" w:after="0" w:line="560" w:lineRule="exact"/>
              <w:jc w:val="left"/>
              <w:rPr>
                <w:rFonts w:ascii="仿宋_GB2312" w:hAnsi="仿宋_GB2312" w:eastAsia="仿宋_GB2312"/>
              </w:rPr>
            </w:pPr>
          </w:p>
          <w:p w14:paraId="7677B3FC">
            <w:pPr>
              <w:spacing w:before="240" w:after="0" w:line="560" w:lineRule="exact"/>
              <w:jc w:val="righ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（盖章）</w:t>
            </w:r>
          </w:p>
          <w:p w14:paraId="7D709911">
            <w:pPr>
              <w:spacing w:before="0" w:after="0" w:line="560" w:lineRule="exact"/>
              <w:jc w:val="right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　　　年　　月　　日</w:t>
            </w:r>
          </w:p>
        </w:tc>
      </w:tr>
    </w:tbl>
    <w:p w14:paraId="38E3E5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ascii="仿宋_GB2312" w:hAnsi="仿宋_GB2312" w:eastAsia="仿宋_GB2312"/>
          <w:b w:val="0"/>
          <w:sz w:val="28"/>
        </w:rPr>
        <w:t>填表说明：</w:t>
      </w:r>
    </w:p>
    <w:p w14:paraId="0F4E0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1.</w:t>
      </w:r>
      <w:r>
        <w:rPr>
          <w:rFonts w:ascii="仿宋_GB2312" w:hAnsi="仿宋_GB2312" w:eastAsia="仿宋_GB2312"/>
          <w:b w:val="0"/>
          <w:sz w:val="28"/>
        </w:rPr>
        <w:t>本表由申报金融机构填写，一式三份，加盖单位公章后报送市经信局。</w:t>
      </w:r>
    </w:p>
    <w:p w14:paraId="43C66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2.</w:t>
      </w:r>
      <w:r>
        <w:rPr>
          <w:rFonts w:ascii="仿宋_GB2312" w:hAnsi="仿宋_GB2312" w:eastAsia="仿宋_GB2312"/>
          <w:b w:val="0"/>
          <w:sz w:val="28"/>
        </w:rPr>
        <w:t>“产品要素”栏请对照征集条件逐项填报，如不适用请注明“不适用”。</w:t>
      </w:r>
    </w:p>
    <w:p w14:paraId="3B4D19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3.</w:t>
      </w:r>
      <w:r>
        <w:rPr>
          <w:rFonts w:ascii="仿宋_GB2312" w:hAnsi="仿宋_GB2312" w:eastAsia="仿宋_GB2312"/>
          <w:b w:val="0"/>
          <w:sz w:val="28"/>
        </w:rPr>
        <w:t>“征集方向”对应：（一）数智化转型专项贷款；（二）数智化设备融资租赁；（三）数智化服务商培育贷；（四）供应链数字化融资；（五）</w:t>
      </w:r>
      <w:r>
        <w:rPr>
          <w:rFonts w:hint="eastAsia" w:ascii="仿宋_GB2312" w:hAnsi="仿宋_GB2312" w:eastAsia="仿宋_GB2312"/>
          <w:b w:val="0"/>
          <w:sz w:val="28"/>
        </w:rPr>
        <w:t>政银合作专项产品</w:t>
      </w:r>
      <w:r>
        <w:rPr>
          <w:rFonts w:ascii="仿宋_GB2312" w:hAnsi="仿宋_GB2312" w:eastAsia="仿宋_GB2312"/>
          <w:b w:val="0"/>
          <w:sz w:val="28"/>
        </w:rPr>
        <w:t>。</w:t>
      </w:r>
    </w:p>
    <w:p w14:paraId="4EE1ED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4.</w:t>
      </w:r>
      <w:r>
        <w:rPr>
          <w:rFonts w:ascii="仿宋_GB2312" w:hAnsi="仿宋_GB2312" w:eastAsia="仿宋_GB2312"/>
          <w:b w:val="0"/>
          <w:sz w:val="28"/>
        </w:rPr>
        <w:t>请同时提交电子版材料，确保纸质版与电子版内容一致。</w:t>
      </w:r>
    </w:p>
    <w:p w14:paraId="3E400D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sectPr>
          <w:pgSz w:w="11906" w:h="16838"/>
          <w:pgMar w:top="2098" w:right="1474" w:bottom="1984" w:left="1587" w:header="720" w:footer="720" w:gutter="0"/>
          <w:pgNumType w:fmt="numberInDash"/>
          <w:cols w:space="720" w:num="1"/>
          <w:docGrid w:linePitch="360" w:charSpace="0"/>
        </w:sectPr>
      </w:pPr>
    </w:p>
    <w:p w14:paraId="63AE7834">
      <w:pPr>
        <w:spacing w:before="0" w:after="120" w:line="560" w:lineRule="exact"/>
        <w:jc w:val="left"/>
        <w:rPr>
          <w:rFonts w:hint="eastAsia" w:ascii="仿宋_GB2312" w:hAnsi="仿宋_GB2312" w:eastAsia="黑体"/>
          <w:lang w:eastAsia="zh-CN"/>
        </w:rPr>
      </w:pPr>
      <w:r>
        <w:rPr>
          <w:rFonts w:ascii="黑体" w:hAnsi="黑体" w:eastAsia="黑体"/>
          <w:b w:val="0"/>
          <w:sz w:val="32"/>
        </w:rPr>
        <w:t>附件</w:t>
      </w:r>
      <w:r>
        <w:rPr>
          <w:rFonts w:hint="eastAsia" w:ascii="黑体" w:hAnsi="黑体" w:eastAsia="黑体"/>
          <w:b w:val="0"/>
          <w:sz w:val="32"/>
          <w:lang w:val="en-US" w:eastAsia="zh-CN"/>
        </w:rPr>
        <w:t>3</w:t>
      </w:r>
    </w:p>
    <w:p w14:paraId="648E322E">
      <w:pPr>
        <w:spacing w:before="0" w:after="160" w:line="720" w:lineRule="exact"/>
        <w:jc w:val="center"/>
        <w:rPr>
          <w:rFonts w:ascii="仿宋_GB2312" w:hAnsi="仿宋_GB2312" w:eastAsia="仿宋_GB2312"/>
        </w:rPr>
      </w:pPr>
      <w:r>
        <w:rPr>
          <w:rFonts w:ascii="方正小标宋简体" w:hAnsi="方正小标宋简体" w:eastAsia="方正小标宋简体"/>
          <w:b w:val="0"/>
          <w:sz w:val="44"/>
        </w:rPr>
        <w:t>“数智贷”产品信息汇总表</w:t>
      </w:r>
    </w:p>
    <w:tbl>
      <w:tblPr>
        <w:tblStyle w:val="33"/>
        <w:tblW w:w="129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584"/>
        <w:gridCol w:w="1838"/>
        <w:gridCol w:w="1584"/>
        <w:gridCol w:w="1393"/>
        <w:gridCol w:w="1329"/>
        <w:gridCol w:w="1616"/>
        <w:gridCol w:w="1329"/>
        <w:gridCol w:w="1634"/>
      </w:tblGrid>
      <w:tr w14:paraId="6108B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tblHeader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35419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序号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E275B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申报机构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49E78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产品名称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80F65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征集方向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89E92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利率／费率（％）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C3DF4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担保方式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D6A33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单户额度上限（万元）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4D347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审批时限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1C3DD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备注</w:t>
            </w:r>
          </w:p>
        </w:tc>
      </w:tr>
      <w:tr w14:paraId="5373E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18E82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411A9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CC28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588F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4A0F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7B53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7953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0C02D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E82E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313BB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68A93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1894A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68FE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0F11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6905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911F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81A1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6083E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78B1C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51980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E64BB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8EA7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77C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EF53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E536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A1BE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4628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76763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53BE7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10B3D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46DAD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4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6642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43DF7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8E254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A933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76F9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812E0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409D2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64DD5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  <w:tr w14:paraId="3126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9099A">
            <w:pPr>
              <w:spacing w:before="0" w:after="0" w:line="440" w:lineRule="exact"/>
              <w:jc w:val="center"/>
              <w:rPr>
                <w:rFonts w:ascii="仿宋_GB2312" w:hAnsi="仿宋_GB2312" w:eastAsia="仿宋_GB2312"/>
              </w:rPr>
            </w:pPr>
            <w:r>
              <w:rPr>
                <w:rFonts w:ascii="仿宋_GB2312" w:hAnsi="仿宋_GB2312" w:eastAsia="仿宋_GB2312"/>
                <w:b w:val="0"/>
                <w:sz w:val="32"/>
              </w:rPr>
              <w:t>5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E2EBA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963C2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259E5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C4468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FBC2F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B3ED1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C4DBB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D923D">
            <w:pPr>
              <w:spacing w:before="0" w:after="0" w:line="440" w:lineRule="exact"/>
              <w:jc w:val="left"/>
              <w:rPr>
                <w:rFonts w:ascii="仿宋_GB2312" w:hAnsi="仿宋_GB2312" w:eastAsia="仿宋_GB2312"/>
              </w:rPr>
            </w:pPr>
          </w:p>
        </w:tc>
      </w:tr>
    </w:tbl>
    <w:p w14:paraId="51B7C7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ascii="仿宋_GB2312" w:hAnsi="仿宋_GB2312" w:eastAsia="仿宋_GB2312"/>
          <w:b w:val="0"/>
          <w:sz w:val="28"/>
        </w:rPr>
        <w:t>填表说明：</w:t>
      </w:r>
    </w:p>
    <w:p w14:paraId="671E8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1.</w:t>
      </w:r>
      <w:r>
        <w:rPr>
          <w:rFonts w:ascii="仿宋_GB2312" w:hAnsi="仿宋_GB2312" w:eastAsia="仿宋_GB2312"/>
          <w:b w:val="0"/>
          <w:sz w:val="28"/>
        </w:rPr>
        <w:t>本表由申报金融机构填写，每个产品填写一行。如申报多个产品，请按序逐行填报。</w:t>
      </w:r>
    </w:p>
    <w:p w14:paraId="07376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2.</w:t>
      </w:r>
      <w:r>
        <w:rPr>
          <w:rFonts w:ascii="仿宋_GB2312" w:hAnsi="仿宋_GB2312" w:eastAsia="仿宋_GB2312"/>
          <w:b w:val="0"/>
          <w:sz w:val="28"/>
        </w:rPr>
        <w:t>“征集方向”填写对应序号：（一）数智化转型专项贷款；（二）数智化设备融资租赁；（三）数智化服务商培育贷；（四）供应链数字化融资；（五）</w:t>
      </w:r>
      <w:r>
        <w:rPr>
          <w:rFonts w:hint="eastAsia" w:ascii="仿宋_GB2312" w:hAnsi="仿宋_GB2312" w:eastAsia="仿宋_GB2312"/>
          <w:b w:val="0"/>
          <w:sz w:val="28"/>
        </w:rPr>
        <w:t>政银合作专项产品</w:t>
      </w:r>
      <w:r>
        <w:rPr>
          <w:rFonts w:ascii="仿宋_GB2312" w:hAnsi="仿宋_GB2312" w:eastAsia="仿宋_GB2312"/>
          <w:b w:val="0"/>
          <w:sz w:val="28"/>
        </w:rPr>
        <w:t>。</w:t>
      </w:r>
    </w:p>
    <w:p w14:paraId="4BB8D8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仿宋_GB2312" w:hAnsi="仿宋_GB2312" w:eastAsia="仿宋_GB2312"/>
        </w:rPr>
      </w:pPr>
      <w:r>
        <w:rPr>
          <w:rFonts w:hint="eastAsia"/>
          <w:b w:val="0"/>
          <w:sz w:val="28"/>
          <w:lang w:eastAsia="zh-CN"/>
        </w:rPr>
        <w:t>3.</w:t>
      </w:r>
      <w:r>
        <w:rPr>
          <w:rFonts w:ascii="仿宋_GB2312" w:hAnsi="仿宋_GB2312" w:eastAsia="仿宋_GB2312"/>
          <w:b w:val="0"/>
          <w:sz w:val="28"/>
        </w:rPr>
        <w:t>“利率／费率”栏，银行信贷产品填写贷款利率，融资租赁产品填写综合年化费率。</w:t>
      </w:r>
    </w:p>
    <w:p w14:paraId="35A23C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ascii="Times New Roman" w:hAnsi="Times New Roman" w:eastAsia="仿宋_GB2312"/>
          <w:b w:val="0"/>
          <w:sz w:val="32"/>
        </w:rPr>
      </w:pPr>
      <w:r>
        <w:rPr>
          <w:rFonts w:hint="eastAsia"/>
          <w:b w:val="0"/>
          <w:sz w:val="28"/>
          <w:lang w:eastAsia="zh-CN"/>
        </w:rPr>
        <w:t>4.</w:t>
      </w:r>
      <w:r>
        <w:rPr>
          <w:rFonts w:ascii="仿宋_GB2312" w:hAnsi="仿宋_GB2312" w:eastAsia="仿宋_GB2312"/>
          <w:b w:val="0"/>
          <w:sz w:val="28"/>
        </w:rPr>
        <w:t>本表与《“数智贷”产品申报表》一同报送，加盖单位公章。</w:t>
      </w:r>
    </w:p>
    <w:sectPr>
      <w:pgSz w:w="16838" w:h="11906" w:orient="landscape"/>
      <w:pgMar w:top="1587" w:right="2098" w:bottom="1474" w:left="1984" w:header="720" w:footer="720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91918"/>
    <w:rsid w:val="00CB0664"/>
    <w:rsid w:val="00FC693F"/>
    <w:rsid w:val="023B0973"/>
    <w:rsid w:val="02BF15A4"/>
    <w:rsid w:val="03505D1E"/>
    <w:rsid w:val="06053772"/>
    <w:rsid w:val="06450013"/>
    <w:rsid w:val="06E8731C"/>
    <w:rsid w:val="0947581C"/>
    <w:rsid w:val="095011A8"/>
    <w:rsid w:val="0AA96DC2"/>
    <w:rsid w:val="0ADD6A6C"/>
    <w:rsid w:val="0B3F14D4"/>
    <w:rsid w:val="0DC43F13"/>
    <w:rsid w:val="0EAA135B"/>
    <w:rsid w:val="10594DE6"/>
    <w:rsid w:val="10786A17"/>
    <w:rsid w:val="11E44B84"/>
    <w:rsid w:val="1338168D"/>
    <w:rsid w:val="13B32A60"/>
    <w:rsid w:val="14224C65"/>
    <w:rsid w:val="144731A8"/>
    <w:rsid w:val="1536087D"/>
    <w:rsid w:val="15BD1974"/>
    <w:rsid w:val="16077093"/>
    <w:rsid w:val="171C6B6E"/>
    <w:rsid w:val="188449CB"/>
    <w:rsid w:val="194303E2"/>
    <w:rsid w:val="1DA04055"/>
    <w:rsid w:val="1E6A4663"/>
    <w:rsid w:val="1E7775FF"/>
    <w:rsid w:val="1EB33EEA"/>
    <w:rsid w:val="1F1A3993"/>
    <w:rsid w:val="1F470500"/>
    <w:rsid w:val="20E93F65"/>
    <w:rsid w:val="22E20C6B"/>
    <w:rsid w:val="23160915"/>
    <w:rsid w:val="238C0BD7"/>
    <w:rsid w:val="23D50A11"/>
    <w:rsid w:val="2405635C"/>
    <w:rsid w:val="247C0C4C"/>
    <w:rsid w:val="24B46637"/>
    <w:rsid w:val="25DC4098"/>
    <w:rsid w:val="25FF1B34"/>
    <w:rsid w:val="26964247"/>
    <w:rsid w:val="285048C9"/>
    <w:rsid w:val="287A1946"/>
    <w:rsid w:val="28ED3EC6"/>
    <w:rsid w:val="294C5091"/>
    <w:rsid w:val="2A9C2048"/>
    <w:rsid w:val="2BA61558"/>
    <w:rsid w:val="2C387B4E"/>
    <w:rsid w:val="2CBC252D"/>
    <w:rsid w:val="2D46629B"/>
    <w:rsid w:val="2EED137D"/>
    <w:rsid w:val="331035D3"/>
    <w:rsid w:val="33233306"/>
    <w:rsid w:val="339E298D"/>
    <w:rsid w:val="33B73A4E"/>
    <w:rsid w:val="3422536C"/>
    <w:rsid w:val="34264730"/>
    <w:rsid w:val="350A4D15"/>
    <w:rsid w:val="35D24B6F"/>
    <w:rsid w:val="360A4309"/>
    <w:rsid w:val="36413AA3"/>
    <w:rsid w:val="37135440"/>
    <w:rsid w:val="387C536A"/>
    <w:rsid w:val="39316051"/>
    <w:rsid w:val="393F2F7B"/>
    <w:rsid w:val="3CF82493"/>
    <w:rsid w:val="3E261EFC"/>
    <w:rsid w:val="3E3A7756"/>
    <w:rsid w:val="3F770225"/>
    <w:rsid w:val="40460634"/>
    <w:rsid w:val="41E221A4"/>
    <w:rsid w:val="43385AD2"/>
    <w:rsid w:val="438A6A89"/>
    <w:rsid w:val="43D917BF"/>
    <w:rsid w:val="4420119C"/>
    <w:rsid w:val="44254A04"/>
    <w:rsid w:val="467F664E"/>
    <w:rsid w:val="478163F5"/>
    <w:rsid w:val="47C14A44"/>
    <w:rsid w:val="47EF45BC"/>
    <w:rsid w:val="48F21359"/>
    <w:rsid w:val="49303C2F"/>
    <w:rsid w:val="4A6F0787"/>
    <w:rsid w:val="4BC11528"/>
    <w:rsid w:val="4BCE3FFA"/>
    <w:rsid w:val="4D1675E0"/>
    <w:rsid w:val="4F697E9B"/>
    <w:rsid w:val="4F7F342D"/>
    <w:rsid w:val="505446A7"/>
    <w:rsid w:val="514209A3"/>
    <w:rsid w:val="51782617"/>
    <w:rsid w:val="51F05E98"/>
    <w:rsid w:val="521F0CE5"/>
    <w:rsid w:val="523A167B"/>
    <w:rsid w:val="52AF3E17"/>
    <w:rsid w:val="5311687F"/>
    <w:rsid w:val="535732FC"/>
    <w:rsid w:val="556C4241"/>
    <w:rsid w:val="55EA33B8"/>
    <w:rsid w:val="568E6439"/>
    <w:rsid w:val="57EF1159"/>
    <w:rsid w:val="58FC58DC"/>
    <w:rsid w:val="593B28A8"/>
    <w:rsid w:val="5A094754"/>
    <w:rsid w:val="5C9A5B38"/>
    <w:rsid w:val="5CA93FCD"/>
    <w:rsid w:val="5CAC7619"/>
    <w:rsid w:val="5CB309A7"/>
    <w:rsid w:val="5E150325"/>
    <w:rsid w:val="5E4E693A"/>
    <w:rsid w:val="5EAE1426"/>
    <w:rsid w:val="5EB97DCB"/>
    <w:rsid w:val="5F61293D"/>
    <w:rsid w:val="5FE86BBA"/>
    <w:rsid w:val="617701F5"/>
    <w:rsid w:val="62A74B0A"/>
    <w:rsid w:val="631321A0"/>
    <w:rsid w:val="643E5F3E"/>
    <w:rsid w:val="64970BAF"/>
    <w:rsid w:val="656E5DB3"/>
    <w:rsid w:val="680E73DA"/>
    <w:rsid w:val="68F465CF"/>
    <w:rsid w:val="6942558D"/>
    <w:rsid w:val="6CD56718"/>
    <w:rsid w:val="6E647D53"/>
    <w:rsid w:val="6E7460DA"/>
    <w:rsid w:val="6ED8429D"/>
    <w:rsid w:val="70932B72"/>
    <w:rsid w:val="71014508"/>
    <w:rsid w:val="719C15B2"/>
    <w:rsid w:val="74A013B9"/>
    <w:rsid w:val="770F2826"/>
    <w:rsid w:val="77E20193"/>
    <w:rsid w:val="77F42148"/>
    <w:rsid w:val="787E5EB6"/>
    <w:rsid w:val="78F97E75"/>
    <w:rsid w:val="796926C2"/>
    <w:rsid w:val="7A770E0E"/>
    <w:rsid w:val="7ADB139D"/>
    <w:rsid w:val="7B1B5C3E"/>
    <w:rsid w:val="7B362A78"/>
    <w:rsid w:val="7C776B7C"/>
    <w:rsid w:val="7C99506C"/>
    <w:rsid w:val="7D90481F"/>
    <w:rsid w:val="7DBC6AE1"/>
    <w:rsid w:val="7DDD367E"/>
    <w:rsid w:val="7E64519B"/>
    <w:rsid w:val="7E680D00"/>
    <w:rsid w:val="7EA1645A"/>
    <w:rsid w:val="7F3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rPr>
      <w:sz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2346</Words>
  <Characters>2409</Characters>
  <Lines>0</Lines>
  <Paragraphs>0</Paragraphs>
  <TotalTime>22</TotalTime>
  <ScaleCrop>false</ScaleCrop>
  <LinksUpToDate>false</LinksUpToDate>
  <CharactersWithSpaces>2559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H.R.Y.</cp:lastModifiedBy>
  <cp:lastPrinted>2026-08-19T07:28:00Z</cp:lastPrinted>
  <dcterms:modified xsi:type="dcterms:W3CDTF">2026-08-21T02:41:13Z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eyJoZGlkIjoiZDM2NTI3YjBkODFjMzNlOGIzMDE2MjljOGMwYWYwYTMiLCJ1c2VySWQiOiIxMTU5NDcwNzM0In0=</vt:lpwstr>
  </property>
  <property fmtid="{D5CDD505-2E9C-101B-9397-08002B2CF9AE}" pid="3" name="KSOProductBuildVer">
    <vt:lpwstr>2052-12.1.0.28043</vt:lpwstr>
  </property>
  <property fmtid="{D5CDD505-2E9C-101B-9397-08002B2CF9AE}" pid="4" name="ICV">
    <vt:lpwstr>FA1867D1C751416E8D35C5337205058B_12</vt:lpwstr>
  </property>
</Properties>
</file>