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/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  <w:t>武汉市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eastAsia="zh-CN"/>
        </w:rPr>
        <w:t>垂直行业模型项目申报书</w:t>
      </w:r>
    </w:p>
    <w:p>
      <w:pPr>
        <w:tabs>
          <w:tab w:val="left" w:pos="2160"/>
        </w:tabs>
        <w:spacing w:line="7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sz w:val="28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单位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（加盖公章）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模型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名称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单位地址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</w:p>
    <w:p>
      <w:pPr>
        <w:tabs>
          <w:tab w:val="left" w:pos="1209"/>
        </w:tabs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申报日期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0"/>
        </w:rPr>
      </w:pPr>
      <w:r>
        <w:rPr>
          <w:rFonts w:hint="default" w:ascii="Times New Roman" w:hAnsi="Times New Roman" w:eastAsia="楷体_GB2312" w:cs="Times New Roman"/>
          <w:sz w:val="32"/>
          <w:szCs w:val="30"/>
          <w:lang w:eastAsia="zh-CN"/>
        </w:rPr>
        <w:t>武汉</w:t>
      </w:r>
      <w:r>
        <w:rPr>
          <w:rFonts w:hint="default" w:ascii="Times New Roman" w:hAnsi="Times New Roman" w:eastAsia="楷体_GB2312" w:cs="Times New Roman"/>
          <w:sz w:val="32"/>
          <w:szCs w:val="30"/>
        </w:rPr>
        <w:t>市</w:t>
      </w:r>
      <w:r>
        <w:rPr>
          <w:rFonts w:hint="default" w:ascii="Times New Roman" w:hAnsi="Times New Roman" w:eastAsia="楷体_GB2312" w:cs="Times New Roman"/>
          <w:sz w:val="32"/>
          <w:szCs w:val="30"/>
          <w:lang w:eastAsia="zh-CN"/>
        </w:rPr>
        <w:t>经济和</w:t>
      </w:r>
      <w:r>
        <w:rPr>
          <w:rFonts w:hint="default" w:ascii="Times New Roman" w:hAnsi="Times New Roman" w:eastAsia="楷体_GB2312" w:cs="Times New Roman"/>
          <w:sz w:val="32"/>
          <w:szCs w:val="30"/>
        </w:rPr>
        <w:t>信息化局</w:t>
      </w:r>
    </w:p>
    <w:p>
      <w:pPr>
        <w:pStyle w:val="7"/>
        <w:jc w:val="center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0"/>
          <w:lang w:val="en-US" w:eastAsia="zh-CN"/>
        </w:rPr>
        <w:t>2025年</w:t>
      </w:r>
    </w:p>
    <w:p>
      <w:pPr>
        <w:rPr>
          <w:rFonts w:hint="default" w:ascii="Times New Roman" w:hAnsi="Times New Roman" w:eastAsia="楷体_GB2312" w:cs="Times New Roman"/>
          <w:sz w:val="32"/>
          <w:szCs w:val="30"/>
        </w:rPr>
      </w:pPr>
      <w:r>
        <w:rPr>
          <w:rFonts w:hint="default" w:ascii="Times New Roman" w:hAnsi="Times New Roman" w:eastAsia="楷体_GB2312" w:cs="Times New Roman"/>
          <w:sz w:val="32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基本情况</w:t>
      </w:r>
    </w:p>
    <w:tbl>
      <w:tblPr>
        <w:tblStyle w:val="9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1420"/>
        <w:gridCol w:w="1269"/>
        <w:gridCol w:w="750"/>
        <w:gridCol w:w="369"/>
        <w:gridCol w:w="1212"/>
        <w:gridCol w:w="277"/>
        <w:gridCol w:w="796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607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统一社会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7607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7607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607" w:type="dxa"/>
            <w:gridSpan w:val="8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党政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机关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事业单位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社会团体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国有企业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民营企业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外资企业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其他（请注明）</w:t>
            </w:r>
            <w:r>
              <w:rPr>
                <w:rStyle w:val="19"/>
                <w:rFonts w:hint="default" w:ascii="Times New Roman" w:hAnsi="Times New Roman" w:eastAsia="黑体" w:cs="Times New Roman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联合体成员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单位（如有）</w:t>
            </w:r>
          </w:p>
        </w:tc>
        <w:tc>
          <w:tcPr>
            <w:tcW w:w="7607" w:type="dxa"/>
            <w:gridSpan w:val="8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若以联合体形式申报，联合体成员数量不超过3家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60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联系人情况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负责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人姓名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6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申报人姓名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单位经营情况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2024年营业收入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2024年人工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智能营业收入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单位人才情况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员工总数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研发人员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人工智能研发人员数量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7" w:hRule="atLeast"/>
          <w:jc w:val="center"/>
        </w:trPr>
        <w:tc>
          <w:tcPr>
            <w:tcW w:w="160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24"/>
                <w:highlight w:val="none"/>
              </w:rPr>
              <w:t>单位</w:t>
            </w:r>
            <w:r>
              <w:rPr>
                <w:rFonts w:hint="default" w:ascii="Times New Roman" w:hAnsi="Times New Roman" w:eastAsia="黑体" w:cs="Times New Roman"/>
                <w:spacing w:val="3"/>
                <w:sz w:val="24"/>
                <w:highlight w:val="none"/>
              </w:rPr>
              <w:t>情况介绍</w:t>
            </w:r>
          </w:p>
        </w:tc>
        <w:tc>
          <w:tcPr>
            <w:tcW w:w="7607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7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  <w:t>包括公司基本情况、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zh-CN"/>
              </w:rPr>
              <w:t>主营业务及产品、核心优势、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  <w:t>研发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zh-CN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zh-CN"/>
              </w:rPr>
              <w:t>，重点突出人工智能研发团队及领军人才、人工智能的技术攻关和产品研发、人工智能应用赋能等情况）</w:t>
            </w:r>
          </w:p>
        </w:tc>
      </w:tr>
    </w:tbl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br w:type="page"/>
      </w:r>
    </w:p>
    <w:p>
      <w:pPr>
        <w:pStyle w:val="7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二、垂直行业模型基本情况</w:t>
      </w:r>
    </w:p>
    <w:tbl>
      <w:tblPr>
        <w:tblStyle w:val="9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1604"/>
        <w:gridCol w:w="2008"/>
        <w:gridCol w:w="168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模型名称</w:t>
            </w:r>
          </w:p>
        </w:tc>
        <w:tc>
          <w:tcPr>
            <w:tcW w:w="7607" w:type="dxa"/>
            <w:gridSpan w:val="4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近三年模型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研发成本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7607" w:type="dxa"/>
            <w:gridSpan w:val="4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近三年时间：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2022年10月1日至2025年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模型领域</w:t>
            </w:r>
          </w:p>
        </w:tc>
        <w:tc>
          <w:tcPr>
            <w:tcW w:w="760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工业制造（含电子信息制造、装备制造、汽车制造、材料制造、生物医药和医疗器械制造、消费品制造等）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工业质检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教育（含科研）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医疗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遥感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文创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金融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7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城市管理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政务办公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模型类型</w:t>
            </w:r>
          </w:p>
        </w:tc>
        <w:tc>
          <w:tcPr>
            <w:tcW w:w="76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语言大模型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视觉大模型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多模态大模型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其他（请注明）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模型指标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参数量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（亿）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训练数据量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TB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备案情况</w:t>
            </w:r>
          </w:p>
        </w:tc>
        <w:tc>
          <w:tcPr>
            <w:tcW w:w="7607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（包括国家网信办模型（算法）备案、省委网信办登记等相关情况）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60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  <w:highlight w:val="none"/>
                <w:lang w:eastAsia="zh-CN"/>
              </w:rPr>
              <w:t>模型底座来源</w:t>
            </w:r>
          </w:p>
        </w:tc>
        <w:tc>
          <w:tcPr>
            <w:tcW w:w="7607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60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3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24"/>
                <w:highlight w:val="none"/>
                <w:lang w:val="en-US" w:eastAsia="zh-CN"/>
              </w:rPr>
              <w:t>模型服务方式</w:t>
            </w:r>
          </w:p>
        </w:tc>
        <w:tc>
          <w:tcPr>
            <w:tcW w:w="7607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APP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网页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 xml:space="preserve">API接口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highlight w:val="none"/>
                <w:lang w:val="en-US" w:eastAsia="zh-CN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5" w:hRule="atLeast"/>
          <w:jc w:val="center"/>
        </w:trPr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近三年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模型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研发资金来源及组成</w:t>
            </w:r>
          </w:p>
        </w:tc>
        <w:tc>
          <w:tcPr>
            <w:tcW w:w="7607" w:type="dxa"/>
            <w:gridSpan w:val="4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（自筹、财政资金或其他，请详细介绍。研发资金组成，包括语料和数据费用、模型开发费用、测试费用、人工费用、设备采购和材料费用等）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垂直行业模型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项目内容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项目概述。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包括立项的背景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意义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国内外研究现状和发展趋势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  <w:lang w:val="en-US" w:eastAsia="zh-CN"/>
        </w:rPr>
        <w:t>本项目进展情况和下一步计划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牵头或参与制修订标准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情况、参与省部级以上项目情况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获得荣誉表彰情况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技术创新。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  <w:lang w:eastAsia="zh-CN"/>
        </w:rPr>
        <w:t>包括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</w:rPr>
        <w:t>采用的基础大模型，使用的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  <w:lang w:eastAsia="zh-CN"/>
        </w:rPr>
        <w:t>架构、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</w:rPr>
        <w:t>数据集、工具箱，产品的关键技术、性能指标和创新性，并与国内外同类模型进行对比分析。算力使用量、使用类型、服务方式、算力供给方情况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  <w:lang w:eastAsia="zh-CN"/>
        </w:rPr>
        <w:t>，模型部署灵活性与兼容性以及安全保障情况。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应用成效。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  <w:lang w:eastAsia="zh-CN"/>
        </w:rPr>
        <w:t>包括垂直行业模型应用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</w:rPr>
        <w:t>案例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  <w:lang w:eastAsia="zh-CN"/>
        </w:rPr>
        <w:t>，介绍投入产出比、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</w:rPr>
        <w:t>可带来的经济效益及社会效益，可与使用技术前进行对比，包括但不限于问题解决情况、效益提升、服务改善、管理优化、产品升级等方面的成效。如有多领域应用请分别描述。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、附件材料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  <w:lang w:val="en-US" w:eastAsia="zh-CN"/>
        </w:rPr>
        <w:t>（一）承诺书（见模板）；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  <w:lang w:val="en-US" w:eastAsia="zh-CN"/>
        </w:rPr>
        <w:t>营业执照（事业单位提供法人证书）副本复印件；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  <w:lang w:val="en-US" w:eastAsia="zh-CN"/>
        </w:rPr>
        <w:t>（三）体现行业垂直模型技术水平、开发进展和应用情况，以及取得成效的相关证明材料，包括但不限于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模型建设运行证明（包括模型训练与调用情况）、国家网信办模型（算法）备案和省委网信办登记等相关证明</w:t>
      </w:r>
      <w:r>
        <w:rPr>
          <w:rFonts w:hint="eastAsia" w:ascii="Times New Roman" w:hAnsi="Times New Roman" w:eastAsia="仿宋_GB2312" w:cs="Times New Roman"/>
          <w:i w:val="0"/>
          <w:iCs w:val="0"/>
          <w:kern w:val="0"/>
          <w:sz w:val="32"/>
          <w:szCs w:val="32"/>
          <w:lang w:val="en-US" w:eastAsia="zh-CN"/>
        </w:rPr>
        <w:t>（如有）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  <w:lang w:val="en-US" w:eastAsia="zh-CN"/>
        </w:rPr>
        <w:t>、专利、软著、获奖等情况，以及应用图片、</w:t>
      </w:r>
      <w:r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</w:rPr>
        <w:t>服务对象体验调研报告等。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u w:val="none"/>
          <w:lang w:val="en-US" w:eastAsia="zh-CN" w:bidi="ar-SA"/>
        </w:rPr>
        <w:t>承诺书</w:t>
      </w:r>
    </w:p>
    <w:p>
      <w:pPr>
        <w:pStyle w:val="2"/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（模板）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  <w:t>本单位对本申请材料的合法性、真实性、准确性和完整性负责。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2.本单位自愿提供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 w:eastAsia="zh-CN"/>
        </w:rPr>
        <w:t>开展武汉市垂直行业模型征集入库和评选补助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所需的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，并为相关工作提供方便。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  <w:t>本单位同意将本申请材料向负责征集评选工作人员和评审专家公开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  <w:t>本申请材料用于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 w:eastAsia="zh-CN"/>
        </w:rPr>
        <w:t>武汉市垂直行业模型征集入库和评选补助相关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  <w:t>，不再要求予以退还。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zh-CN"/>
        </w:rPr>
        <w:t>特此承诺。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560" w:firstLineChars="200"/>
        <w:jc w:val="both"/>
        <w:textAlignment w:val="auto"/>
        <w:rPr>
          <w:rFonts w:hint="default" w:ascii="Times New Roman" w:hAnsi="Times New Roman" w:eastAsia="微软雅黑" w:cs="Times New Roman"/>
          <w:color w:val="auto"/>
          <w:kern w:val="0"/>
          <w:sz w:val="28"/>
          <w:szCs w:val="28"/>
          <w:highlight w:val="none"/>
          <w:lang w:val="zh-CN"/>
        </w:rPr>
      </w:pPr>
    </w:p>
    <w:p>
      <w:pPr>
        <w:pStyle w:val="2"/>
        <w:rPr>
          <w:rFonts w:hint="default" w:ascii="Times New Roman" w:hAnsi="Times New Roman" w:cs="Times New Roman"/>
          <w:lang w:val="zh-CN"/>
        </w:rPr>
      </w:pPr>
    </w:p>
    <w:p>
      <w:pPr>
        <w:ind w:firstLine="2880" w:firstLineChars="9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2880" w:firstLineChars="9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申请单位法人代表（签名）：</w:t>
      </w:r>
    </w:p>
    <w:p>
      <w:pPr>
        <w:ind w:firstLine="2880" w:firstLineChars="9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申请单位（盖章）：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</w:t>
      </w:r>
    </w:p>
    <w:p>
      <w:pPr>
        <w:ind w:firstLine="4320" w:firstLineChars="13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      月      日</w:t>
      </w:r>
    </w:p>
    <w:p>
      <w:pPr>
        <w:pStyle w:val="7"/>
        <w:rPr>
          <w:rFonts w:hint="default" w:ascii="Times New Roman" w:hAnsi="Times New Roman" w:cs="Times New Roman"/>
          <w:lang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pict>
        <v:shape id="_x0000_s4097" o:spid="_x0000_s4097" o:spt="202" type="#_x0000_t202" style="position:absolute;left:0pt;margin-top:-24.75pt;height:16.1pt;width:23.35pt;mso-position-horizontal:center;mso-position-horizontal-relative:margin;mso-wrap-style:none;z-index:251659264;mso-width-relative:page;mso-height-relative:page;" filled="f" stroked="f" coordsize="21600,21600">
          <v:path arrowok="t"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- 2 -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ZiMDdlNGNjYmU1ZGE4MGJiMmI5NWM1NTE1MDNiODQifQ=="/>
  </w:docVars>
  <w:rsids>
    <w:rsidRoot w:val="7DEF1878"/>
    <w:rsid w:val="00004EB9"/>
    <w:rsid w:val="00006CF1"/>
    <w:rsid w:val="000079C2"/>
    <w:rsid w:val="0001092D"/>
    <w:rsid w:val="00013AFF"/>
    <w:rsid w:val="000211BB"/>
    <w:rsid w:val="00023BB7"/>
    <w:rsid w:val="0002670E"/>
    <w:rsid w:val="000269A2"/>
    <w:rsid w:val="00036E63"/>
    <w:rsid w:val="000449E1"/>
    <w:rsid w:val="000455AB"/>
    <w:rsid w:val="00050033"/>
    <w:rsid w:val="00061F03"/>
    <w:rsid w:val="00066463"/>
    <w:rsid w:val="00066660"/>
    <w:rsid w:val="00070FF2"/>
    <w:rsid w:val="00084634"/>
    <w:rsid w:val="00085919"/>
    <w:rsid w:val="00092043"/>
    <w:rsid w:val="000B4CA1"/>
    <w:rsid w:val="000B7466"/>
    <w:rsid w:val="000B7898"/>
    <w:rsid w:val="000C3B79"/>
    <w:rsid w:val="000C488D"/>
    <w:rsid w:val="000C5347"/>
    <w:rsid w:val="000D30B7"/>
    <w:rsid w:val="000D6EA0"/>
    <w:rsid w:val="000E23C6"/>
    <w:rsid w:val="000E2BD0"/>
    <w:rsid w:val="000F1CDF"/>
    <w:rsid w:val="000F2A58"/>
    <w:rsid w:val="000F2F17"/>
    <w:rsid w:val="000F3449"/>
    <w:rsid w:val="001143A4"/>
    <w:rsid w:val="00125DF1"/>
    <w:rsid w:val="001509EC"/>
    <w:rsid w:val="00160FAE"/>
    <w:rsid w:val="00161D72"/>
    <w:rsid w:val="00164F6E"/>
    <w:rsid w:val="00167AB6"/>
    <w:rsid w:val="0017161B"/>
    <w:rsid w:val="0018442E"/>
    <w:rsid w:val="00191CC6"/>
    <w:rsid w:val="001A52C1"/>
    <w:rsid w:val="001A723E"/>
    <w:rsid w:val="001B067F"/>
    <w:rsid w:val="001B35AF"/>
    <w:rsid w:val="001C1E48"/>
    <w:rsid w:val="001D3187"/>
    <w:rsid w:val="001E0F8A"/>
    <w:rsid w:val="001F0BAC"/>
    <w:rsid w:val="00213593"/>
    <w:rsid w:val="002147FA"/>
    <w:rsid w:val="00214E86"/>
    <w:rsid w:val="00232DC5"/>
    <w:rsid w:val="00240DB4"/>
    <w:rsid w:val="00243352"/>
    <w:rsid w:val="00245B69"/>
    <w:rsid w:val="0025148A"/>
    <w:rsid w:val="00252947"/>
    <w:rsid w:val="0026074E"/>
    <w:rsid w:val="00262BDB"/>
    <w:rsid w:val="00283820"/>
    <w:rsid w:val="002922C1"/>
    <w:rsid w:val="002947C8"/>
    <w:rsid w:val="002B2B1A"/>
    <w:rsid w:val="002B3E59"/>
    <w:rsid w:val="002E3CF8"/>
    <w:rsid w:val="002F6B72"/>
    <w:rsid w:val="0030286F"/>
    <w:rsid w:val="00303C42"/>
    <w:rsid w:val="00307D1B"/>
    <w:rsid w:val="00313AF9"/>
    <w:rsid w:val="00324116"/>
    <w:rsid w:val="0032415B"/>
    <w:rsid w:val="003356BF"/>
    <w:rsid w:val="0034432C"/>
    <w:rsid w:val="00344940"/>
    <w:rsid w:val="00345517"/>
    <w:rsid w:val="00364601"/>
    <w:rsid w:val="00383001"/>
    <w:rsid w:val="003966D7"/>
    <w:rsid w:val="003B31A7"/>
    <w:rsid w:val="003B6212"/>
    <w:rsid w:val="003B6BE7"/>
    <w:rsid w:val="003B718E"/>
    <w:rsid w:val="003D3F04"/>
    <w:rsid w:val="003D5FFB"/>
    <w:rsid w:val="003E1BFB"/>
    <w:rsid w:val="003E3374"/>
    <w:rsid w:val="003E426B"/>
    <w:rsid w:val="003E4633"/>
    <w:rsid w:val="003F6378"/>
    <w:rsid w:val="004001CE"/>
    <w:rsid w:val="0040213B"/>
    <w:rsid w:val="0040778A"/>
    <w:rsid w:val="00427B5D"/>
    <w:rsid w:val="004445E6"/>
    <w:rsid w:val="00447EED"/>
    <w:rsid w:val="004531D9"/>
    <w:rsid w:val="00460E72"/>
    <w:rsid w:val="00480528"/>
    <w:rsid w:val="004833E2"/>
    <w:rsid w:val="004A0A2A"/>
    <w:rsid w:val="004A0EA8"/>
    <w:rsid w:val="004B1DC5"/>
    <w:rsid w:val="004B56D1"/>
    <w:rsid w:val="004B5A44"/>
    <w:rsid w:val="004B68B8"/>
    <w:rsid w:val="004D0BE4"/>
    <w:rsid w:val="004D2842"/>
    <w:rsid w:val="004E3120"/>
    <w:rsid w:val="005041C6"/>
    <w:rsid w:val="00523179"/>
    <w:rsid w:val="0052471B"/>
    <w:rsid w:val="0052496E"/>
    <w:rsid w:val="00524AB6"/>
    <w:rsid w:val="00524F8F"/>
    <w:rsid w:val="00536102"/>
    <w:rsid w:val="005620EB"/>
    <w:rsid w:val="005633C8"/>
    <w:rsid w:val="0057408F"/>
    <w:rsid w:val="0058259F"/>
    <w:rsid w:val="00587D04"/>
    <w:rsid w:val="00591762"/>
    <w:rsid w:val="00594C2B"/>
    <w:rsid w:val="005A00FB"/>
    <w:rsid w:val="005A19D0"/>
    <w:rsid w:val="005C0ABD"/>
    <w:rsid w:val="005C1DAB"/>
    <w:rsid w:val="005D3BAB"/>
    <w:rsid w:val="005D692E"/>
    <w:rsid w:val="005D7026"/>
    <w:rsid w:val="005E24D2"/>
    <w:rsid w:val="005F7D34"/>
    <w:rsid w:val="00617398"/>
    <w:rsid w:val="006301AC"/>
    <w:rsid w:val="0063071B"/>
    <w:rsid w:val="00635059"/>
    <w:rsid w:val="006365FF"/>
    <w:rsid w:val="006404EE"/>
    <w:rsid w:val="0064503D"/>
    <w:rsid w:val="0064653A"/>
    <w:rsid w:val="00656D8B"/>
    <w:rsid w:val="006642BF"/>
    <w:rsid w:val="0067360F"/>
    <w:rsid w:val="00692209"/>
    <w:rsid w:val="0069265D"/>
    <w:rsid w:val="0069490B"/>
    <w:rsid w:val="006A6E8D"/>
    <w:rsid w:val="006B3B25"/>
    <w:rsid w:val="006B764F"/>
    <w:rsid w:val="006C0A27"/>
    <w:rsid w:val="006D449B"/>
    <w:rsid w:val="006D6139"/>
    <w:rsid w:val="006D7958"/>
    <w:rsid w:val="006E0FA2"/>
    <w:rsid w:val="006E3956"/>
    <w:rsid w:val="006E40FD"/>
    <w:rsid w:val="006E78AA"/>
    <w:rsid w:val="006F10DD"/>
    <w:rsid w:val="006F6BC4"/>
    <w:rsid w:val="00703C85"/>
    <w:rsid w:val="00711ADF"/>
    <w:rsid w:val="00713EE9"/>
    <w:rsid w:val="00721F54"/>
    <w:rsid w:val="007232CD"/>
    <w:rsid w:val="0074420A"/>
    <w:rsid w:val="00767588"/>
    <w:rsid w:val="007801DD"/>
    <w:rsid w:val="007A1110"/>
    <w:rsid w:val="007A48AE"/>
    <w:rsid w:val="007B1DE7"/>
    <w:rsid w:val="007B7544"/>
    <w:rsid w:val="007C7252"/>
    <w:rsid w:val="007F2011"/>
    <w:rsid w:val="0080798A"/>
    <w:rsid w:val="008123CF"/>
    <w:rsid w:val="008127A4"/>
    <w:rsid w:val="00815028"/>
    <w:rsid w:val="00823CC0"/>
    <w:rsid w:val="0082530F"/>
    <w:rsid w:val="00826A44"/>
    <w:rsid w:val="00834FD6"/>
    <w:rsid w:val="00845935"/>
    <w:rsid w:val="00846F58"/>
    <w:rsid w:val="0085574D"/>
    <w:rsid w:val="00863C80"/>
    <w:rsid w:val="008671C9"/>
    <w:rsid w:val="0088688E"/>
    <w:rsid w:val="00891AE3"/>
    <w:rsid w:val="0089391E"/>
    <w:rsid w:val="00897112"/>
    <w:rsid w:val="008A067B"/>
    <w:rsid w:val="008A4342"/>
    <w:rsid w:val="008C2751"/>
    <w:rsid w:val="008C357E"/>
    <w:rsid w:val="008E5F62"/>
    <w:rsid w:val="008E6FC3"/>
    <w:rsid w:val="008F4EBD"/>
    <w:rsid w:val="008F7A3A"/>
    <w:rsid w:val="00905A2B"/>
    <w:rsid w:val="00912EC2"/>
    <w:rsid w:val="00916611"/>
    <w:rsid w:val="00940BEE"/>
    <w:rsid w:val="00943625"/>
    <w:rsid w:val="0094595A"/>
    <w:rsid w:val="00953549"/>
    <w:rsid w:val="00953D27"/>
    <w:rsid w:val="00954F14"/>
    <w:rsid w:val="00955328"/>
    <w:rsid w:val="0095673A"/>
    <w:rsid w:val="00956E4F"/>
    <w:rsid w:val="00963DB4"/>
    <w:rsid w:val="009655AF"/>
    <w:rsid w:val="00971133"/>
    <w:rsid w:val="00974B5F"/>
    <w:rsid w:val="00975636"/>
    <w:rsid w:val="00983550"/>
    <w:rsid w:val="00991B14"/>
    <w:rsid w:val="009A1D4B"/>
    <w:rsid w:val="009A3AC1"/>
    <w:rsid w:val="009A4DAB"/>
    <w:rsid w:val="009C5E9D"/>
    <w:rsid w:val="009D1AB2"/>
    <w:rsid w:val="009D2E62"/>
    <w:rsid w:val="009D62B8"/>
    <w:rsid w:val="009D7FB5"/>
    <w:rsid w:val="009E125E"/>
    <w:rsid w:val="009E4690"/>
    <w:rsid w:val="009E7376"/>
    <w:rsid w:val="009F2D3D"/>
    <w:rsid w:val="00A01746"/>
    <w:rsid w:val="00A034F3"/>
    <w:rsid w:val="00A12750"/>
    <w:rsid w:val="00A1584E"/>
    <w:rsid w:val="00A1700E"/>
    <w:rsid w:val="00A20389"/>
    <w:rsid w:val="00A2132D"/>
    <w:rsid w:val="00A221D4"/>
    <w:rsid w:val="00A34BCE"/>
    <w:rsid w:val="00A36170"/>
    <w:rsid w:val="00A44C17"/>
    <w:rsid w:val="00A4598A"/>
    <w:rsid w:val="00A45DB4"/>
    <w:rsid w:val="00A541B6"/>
    <w:rsid w:val="00A5436F"/>
    <w:rsid w:val="00A5474F"/>
    <w:rsid w:val="00A5495D"/>
    <w:rsid w:val="00A66981"/>
    <w:rsid w:val="00A71739"/>
    <w:rsid w:val="00A71B41"/>
    <w:rsid w:val="00A767C1"/>
    <w:rsid w:val="00A77E09"/>
    <w:rsid w:val="00A9143F"/>
    <w:rsid w:val="00AA4386"/>
    <w:rsid w:val="00AA5061"/>
    <w:rsid w:val="00AA5129"/>
    <w:rsid w:val="00AB112B"/>
    <w:rsid w:val="00AB34CF"/>
    <w:rsid w:val="00AB4FDD"/>
    <w:rsid w:val="00AB5664"/>
    <w:rsid w:val="00AC565A"/>
    <w:rsid w:val="00AD6425"/>
    <w:rsid w:val="00AE1516"/>
    <w:rsid w:val="00B06ACB"/>
    <w:rsid w:val="00B15967"/>
    <w:rsid w:val="00B3247E"/>
    <w:rsid w:val="00B41F49"/>
    <w:rsid w:val="00B42771"/>
    <w:rsid w:val="00B47E66"/>
    <w:rsid w:val="00B55F24"/>
    <w:rsid w:val="00B60294"/>
    <w:rsid w:val="00B666FD"/>
    <w:rsid w:val="00B73FD0"/>
    <w:rsid w:val="00B75CBB"/>
    <w:rsid w:val="00B84B7D"/>
    <w:rsid w:val="00B92C33"/>
    <w:rsid w:val="00B94418"/>
    <w:rsid w:val="00BA2501"/>
    <w:rsid w:val="00BB5E4C"/>
    <w:rsid w:val="00BC6E2A"/>
    <w:rsid w:val="00BD4A67"/>
    <w:rsid w:val="00BE4F91"/>
    <w:rsid w:val="00BE6A1E"/>
    <w:rsid w:val="00BF51D4"/>
    <w:rsid w:val="00BF754C"/>
    <w:rsid w:val="00C015D3"/>
    <w:rsid w:val="00C15893"/>
    <w:rsid w:val="00C2292A"/>
    <w:rsid w:val="00C310A8"/>
    <w:rsid w:val="00C310D5"/>
    <w:rsid w:val="00C34907"/>
    <w:rsid w:val="00C53A09"/>
    <w:rsid w:val="00C540EE"/>
    <w:rsid w:val="00C544E9"/>
    <w:rsid w:val="00C55DFE"/>
    <w:rsid w:val="00C56E78"/>
    <w:rsid w:val="00C60B8F"/>
    <w:rsid w:val="00C61290"/>
    <w:rsid w:val="00C62808"/>
    <w:rsid w:val="00C63375"/>
    <w:rsid w:val="00C6472D"/>
    <w:rsid w:val="00C71266"/>
    <w:rsid w:val="00C76739"/>
    <w:rsid w:val="00C80592"/>
    <w:rsid w:val="00C8261A"/>
    <w:rsid w:val="00C916CF"/>
    <w:rsid w:val="00C92EFA"/>
    <w:rsid w:val="00CA24C4"/>
    <w:rsid w:val="00CA3FC0"/>
    <w:rsid w:val="00CA5DF3"/>
    <w:rsid w:val="00CA7280"/>
    <w:rsid w:val="00CB3703"/>
    <w:rsid w:val="00CB618C"/>
    <w:rsid w:val="00CD08F1"/>
    <w:rsid w:val="00CD459D"/>
    <w:rsid w:val="00CE105E"/>
    <w:rsid w:val="00CE4D85"/>
    <w:rsid w:val="00CF2787"/>
    <w:rsid w:val="00CF5417"/>
    <w:rsid w:val="00D1215C"/>
    <w:rsid w:val="00D12CB4"/>
    <w:rsid w:val="00D212EA"/>
    <w:rsid w:val="00D22579"/>
    <w:rsid w:val="00D2765A"/>
    <w:rsid w:val="00D357B3"/>
    <w:rsid w:val="00D35D12"/>
    <w:rsid w:val="00D3707E"/>
    <w:rsid w:val="00D55C84"/>
    <w:rsid w:val="00D56DA0"/>
    <w:rsid w:val="00D57B58"/>
    <w:rsid w:val="00D6318C"/>
    <w:rsid w:val="00D63DAE"/>
    <w:rsid w:val="00D63F81"/>
    <w:rsid w:val="00D75D90"/>
    <w:rsid w:val="00D776FA"/>
    <w:rsid w:val="00D77B2A"/>
    <w:rsid w:val="00D841D2"/>
    <w:rsid w:val="00D85238"/>
    <w:rsid w:val="00DA5974"/>
    <w:rsid w:val="00DA66F9"/>
    <w:rsid w:val="00DB675D"/>
    <w:rsid w:val="00DC354D"/>
    <w:rsid w:val="00DC68E8"/>
    <w:rsid w:val="00DD2FB5"/>
    <w:rsid w:val="00DE1B23"/>
    <w:rsid w:val="00E02E05"/>
    <w:rsid w:val="00E16709"/>
    <w:rsid w:val="00E3688F"/>
    <w:rsid w:val="00E41824"/>
    <w:rsid w:val="00E46333"/>
    <w:rsid w:val="00E47F75"/>
    <w:rsid w:val="00E66D01"/>
    <w:rsid w:val="00E67E54"/>
    <w:rsid w:val="00E704B1"/>
    <w:rsid w:val="00E71A69"/>
    <w:rsid w:val="00E75348"/>
    <w:rsid w:val="00E817AC"/>
    <w:rsid w:val="00E84DC9"/>
    <w:rsid w:val="00EA080F"/>
    <w:rsid w:val="00EA3DAC"/>
    <w:rsid w:val="00EA547B"/>
    <w:rsid w:val="00EA5D6D"/>
    <w:rsid w:val="00EA7A2B"/>
    <w:rsid w:val="00EB23D4"/>
    <w:rsid w:val="00EC0082"/>
    <w:rsid w:val="00EC7D1E"/>
    <w:rsid w:val="00ED0999"/>
    <w:rsid w:val="00ED3A78"/>
    <w:rsid w:val="00EE1A11"/>
    <w:rsid w:val="00EE451D"/>
    <w:rsid w:val="00EF2B22"/>
    <w:rsid w:val="00EF783C"/>
    <w:rsid w:val="00F047AA"/>
    <w:rsid w:val="00F403A5"/>
    <w:rsid w:val="00F42C6A"/>
    <w:rsid w:val="00F46937"/>
    <w:rsid w:val="00F502EF"/>
    <w:rsid w:val="00F514A6"/>
    <w:rsid w:val="00F560C3"/>
    <w:rsid w:val="00F7197C"/>
    <w:rsid w:val="00F77837"/>
    <w:rsid w:val="00F87585"/>
    <w:rsid w:val="00FA5E57"/>
    <w:rsid w:val="00FB0587"/>
    <w:rsid w:val="00FB33CF"/>
    <w:rsid w:val="00FB52B6"/>
    <w:rsid w:val="00FC6AF6"/>
    <w:rsid w:val="00FE0D2E"/>
    <w:rsid w:val="00FF3A8E"/>
    <w:rsid w:val="00FF5EF9"/>
    <w:rsid w:val="2C756373"/>
    <w:rsid w:val="31BC64B8"/>
    <w:rsid w:val="37756BB0"/>
    <w:rsid w:val="37FA754E"/>
    <w:rsid w:val="3FFDCE61"/>
    <w:rsid w:val="640953EC"/>
    <w:rsid w:val="65B6B790"/>
    <w:rsid w:val="6DFFB838"/>
    <w:rsid w:val="6EE373F2"/>
    <w:rsid w:val="6FB3AF08"/>
    <w:rsid w:val="6FE3BAE7"/>
    <w:rsid w:val="77796542"/>
    <w:rsid w:val="777B2120"/>
    <w:rsid w:val="77FD408D"/>
    <w:rsid w:val="7BF63E12"/>
    <w:rsid w:val="7CE7DFD4"/>
    <w:rsid w:val="7D5F0BC9"/>
    <w:rsid w:val="7DEF1878"/>
    <w:rsid w:val="7EFE9DD3"/>
    <w:rsid w:val="A1ED22BA"/>
    <w:rsid w:val="B5F7653A"/>
    <w:rsid w:val="BF3E1CE2"/>
    <w:rsid w:val="BFF5C7CC"/>
    <w:rsid w:val="BFFF14B7"/>
    <w:rsid w:val="BFFF93A3"/>
    <w:rsid w:val="CFFC8536"/>
    <w:rsid w:val="DE9E8F98"/>
    <w:rsid w:val="F37F3441"/>
    <w:rsid w:val="F577189A"/>
    <w:rsid w:val="FB8DC1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qFormat="1" w:uiPriority="99" w:semiHidden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cs="Courier New"/>
      <w:kern w:val="0"/>
      <w:sz w:val="22"/>
    </w:r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qFormat/>
    <w:uiPriority w:val="0"/>
    <w:rPr>
      <w:color w:val="0563C1" w:themeColor="hyperlink"/>
      <w:u w:val="singl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标题 2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日期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long_text1"/>
    <w:qFormat/>
    <w:uiPriority w:val="0"/>
    <w:rPr>
      <w:sz w:val="13"/>
      <w:szCs w:val="13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lang w:eastAsia="en-US"/>
    </w:rPr>
  </w:style>
  <w:style w:type="character" w:customStyle="1" w:styleId="19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0">
    <w:name w:val="font61"/>
    <w:basedOn w:val="11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4</Pages>
  <Words>190</Words>
  <Characters>1089</Characters>
  <Lines>9</Lines>
  <Paragraphs>2</Paragraphs>
  <TotalTime>1</TotalTime>
  <ScaleCrop>false</ScaleCrop>
  <LinksUpToDate>false</LinksUpToDate>
  <CharactersWithSpaces>1277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2021-05-09T14:03:00Z</dcterms:created>
  <dc:creator>minihoo</dc:creator>
  <cp:lastModifiedBy>user</cp:lastModifiedBy>
  <cp:lastPrinted>2025-10-14T10:30:48Z</cp:lastPrinted>
  <dcterms:modified xsi:type="dcterms:W3CDTF">2025-10-14T10:51:52Z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F94495ABEE6D469F9ADE8C74C9BFE97D_12</vt:lpwstr>
  </property>
</Properties>
</file>