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utlineLvl w:val="0"/>
        <w:rPr>
          <w:rFonts w:hint="eastAsia" w:ascii="Times New Roman" w:hAnsi="Times New Roman" w:eastAsia="黑体" w:cs="Times New Roman"/>
          <w:color w:val="070707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color w:val="070707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color w:val="070707"/>
          <w:sz w:val="32"/>
          <w:szCs w:val="32"/>
          <w:lang w:val="en-US" w:eastAsia="zh-CN"/>
        </w:rPr>
        <w:t>1</w:t>
      </w:r>
    </w:p>
    <w:p>
      <w:pPr>
        <w:snapToGrid w:val="0"/>
        <w:spacing w:line="580" w:lineRule="exact"/>
        <w:outlineLvl w:val="0"/>
        <w:rPr>
          <w:rFonts w:hint="default" w:ascii="Times New Roman" w:hAnsi="Times New Roman" w:eastAsia="黑体" w:cs="Times New Roman"/>
          <w:color w:val="070707"/>
          <w:sz w:val="32"/>
          <w:szCs w:val="32"/>
        </w:rPr>
      </w:pPr>
    </w:p>
    <w:p>
      <w:pPr>
        <w:spacing w:before="143" w:beforeLines="50" w:line="580" w:lineRule="exact"/>
        <w:jc w:val="center"/>
        <w:outlineLvl w:val="0"/>
        <w:rPr>
          <w:rFonts w:hint="default" w:ascii="Times New Roman" w:hAnsi="Times New Roman" w:eastAsia="方正小标宋简体" w:cs="Times New Roman"/>
          <w:bCs/>
          <w:color w:val="070707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bCs/>
          <w:color w:val="070707"/>
          <w:sz w:val="36"/>
          <w:szCs w:val="36"/>
        </w:rPr>
        <w:t>智能制造典型场景参考指引</w:t>
      </w:r>
    </w:p>
    <w:p>
      <w:pPr>
        <w:pStyle w:val="3"/>
        <w:spacing w:line="580" w:lineRule="exact"/>
        <w:rPr>
          <w:rFonts w:hint="default" w:ascii="Times New Roman" w:hAnsi="Times New Roman" w:cs="Times New Roman"/>
        </w:rPr>
      </w:pPr>
    </w:p>
    <w:p>
      <w:pPr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智能制造场景是智能工厂的核心组成部分，是指面向制造过程各个环节，通过新一代信息技术、先进制造技术的深度融合，部署高档数控机床与工业机器人、增材制造装备、智能传感与控制装备、智能检测与装配装备、智能物流与仓储装备、行业成套装备等智能制造装备，集成相应的工艺、软件等，实现具备协同和自治特征、具有特定功能和实际价值的应用。根据“十三五”以来智能制造发展情况和企业实践，结合技术创新和融合应用发展趋势，凝练总结了16个环节45个智能制造典型场景，为智能工厂建设提供参考。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bCs/>
          <w:sz w:val="32"/>
          <w:szCs w:val="32"/>
        </w:rPr>
        <w:t>一</w:t>
      </w:r>
      <w:r>
        <w:rPr>
          <w:rFonts w:hint="default" w:ascii="Times New Roman" w:hAnsi="Times New Roman" w:eastAsia="黑体" w:cs="Times New Roman"/>
          <w:color w:val="070707"/>
          <w:sz w:val="32"/>
          <w:szCs w:val="32"/>
        </w:rPr>
        <w:t>、</w:t>
      </w:r>
      <w:r>
        <w:rPr>
          <w:rFonts w:hint="default" w:ascii="Times New Roman" w:hAnsi="Times New Roman" w:eastAsia="黑体" w:cs="Times New Roman"/>
          <w:bCs/>
          <w:sz w:val="32"/>
          <w:szCs w:val="32"/>
        </w:rPr>
        <w:t>工厂建设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通过三维建模、系统仿真、设计优化，实现基于模型的工厂设计、交付和建设，提高建设效率和质量，降低成本。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楷体" w:cs="Times New Roman"/>
          <w:sz w:val="32"/>
          <w:szCs w:val="32"/>
        </w:rPr>
        <w:t>1.</w:t>
      </w:r>
      <w:r>
        <w:rPr>
          <w:rFonts w:hint="default" w:ascii="Times New Roman" w:hAnsi="Times New Roman" w:eastAsia="楷体" w:cs="Times New Roman"/>
          <w:b/>
          <w:bCs/>
          <w:sz w:val="32"/>
          <w:szCs w:val="32"/>
        </w:rPr>
        <w:t>工厂数字化设计。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应用工厂三维设计与仿真软件，集成工厂信息模型、制造系统仿真、专家系统和AR/VR等技术，高效开展工厂规划、设计和仿真优化，实现数字化交付。</w:t>
      </w:r>
    </w:p>
    <w:p>
      <w:pPr>
        <w:spacing w:line="580" w:lineRule="exact"/>
        <w:ind w:firstLine="642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楷体" w:cs="Times New Roman"/>
          <w:b/>
          <w:bCs/>
          <w:sz w:val="32"/>
          <w:szCs w:val="32"/>
        </w:rPr>
        <w:t>2.数字孪生工厂建设。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应用建模仿真、多模型融合等技术，构建装备、产线、车间、工厂等不同层级的数字孪生系统，通过物理世界和虚拟空间的实时映射，实现基于模型的数字化运行和维护。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黑体" w:cs="Times New Roman"/>
          <w:bCs/>
          <w:sz w:val="32"/>
          <w:szCs w:val="32"/>
        </w:rPr>
      </w:pPr>
      <w:r>
        <w:rPr>
          <w:rFonts w:hint="default" w:ascii="Times New Roman" w:hAnsi="Times New Roman" w:eastAsia="黑体" w:cs="Times New Roman"/>
          <w:bCs/>
          <w:sz w:val="32"/>
          <w:szCs w:val="32"/>
        </w:rPr>
        <w:t>二、产品研发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通过设计建模、仿真优化和测试验证，实现数据驱动的产品研发，提高设计效率，缩短研发周期。</w:t>
      </w:r>
    </w:p>
    <w:p>
      <w:pPr>
        <w:spacing w:line="580" w:lineRule="exact"/>
        <w:ind w:firstLine="642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楷体" w:cs="Times New Roman"/>
          <w:b/>
          <w:bCs/>
          <w:sz w:val="32"/>
          <w:szCs w:val="32"/>
        </w:rPr>
        <w:t>3.产品数字化研发与设计。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应用设计软件和知识模型库，基于复杂建模、物性表征与分析、AR/VR、数字孪生等技术，搭建数字化协同设计环境，开展产品、配方等研发与设计。</w:t>
      </w:r>
    </w:p>
    <w:p>
      <w:pPr>
        <w:spacing w:line="580" w:lineRule="exact"/>
        <w:ind w:firstLine="642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楷体" w:cs="Times New Roman"/>
          <w:b/>
          <w:bCs/>
          <w:sz w:val="32"/>
          <w:szCs w:val="32"/>
        </w:rPr>
        <w:t>4.虚拟试验与调试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。面向产品功能、性能、可靠性、寿命等方面，通过虚拟仿真开展试验、调试，缩短研发周期，降低研发成本，提高产品质量。</w:t>
      </w:r>
    </w:p>
    <w:p>
      <w:pPr>
        <w:spacing w:line="580" w:lineRule="exact"/>
        <w:ind w:firstLine="642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楷体" w:cs="Times New Roman"/>
          <w:b/>
          <w:bCs/>
          <w:sz w:val="32"/>
          <w:szCs w:val="32"/>
        </w:rPr>
        <w:t>5.数据驱动产品设计优化。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打通产品设计、生产作业、售后服务等环节数据，结合人工智能、大数据等技术，探索创成式设计，持续迭代产品模型，驱动产品优化创新。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黑体" w:cs="Times New Roman"/>
          <w:bCs/>
          <w:sz w:val="32"/>
          <w:szCs w:val="32"/>
        </w:rPr>
      </w:pPr>
      <w:r>
        <w:rPr>
          <w:rFonts w:hint="default" w:ascii="Times New Roman" w:hAnsi="Times New Roman" w:eastAsia="黑体" w:cs="Times New Roman"/>
          <w:bCs/>
          <w:sz w:val="32"/>
          <w:szCs w:val="32"/>
        </w:rPr>
        <w:t>三、工艺设计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通过制造机理分析、工艺过程建模和虚拟制造验证，实现工艺设计数字化和工艺技术创新，提高工艺开发效率，保障可行性。</w:t>
      </w:r>
    </w:p>
    <w:p>
      <w:pPr>
        <w:spacing w:line="580" w:lineRule="exact"/>
        <w:ind w:firstLine="642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楷体" w:cs="Times New Roman"/>
          <w:b/>
          <w:bCs/>
          <w:sz w:val="32"/>
          <w:szCs w:val="32"/>
        </w:rPr>
        <w:t>6.工艺数字化设计。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应用工艺仿真软件和工艺知识库，基于机理、物性表征和数据分析技术，建立加工、检测、装配、物流等工艺模型，进行工艺全过程仿真，预测加工缺陷并改进工艺方案和参数。</w:t>
      </w:r>
    </w:p>
    <w:p>
      <w:pPr>
        <w:spacing w:line="580" w:lineRule="exact"/>
        <w:ind w:firstLine="642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楷体" w:cs="Times New Roman"/>
          <w:b/>
          <w:bCs/>
          <w:sz w:val="32"/>
          <w:szCs w:val="32"/>
        </w:rPr>
        <w:t>7.可制造性设计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。打通工艺设计、产品研发、生产作业等环节数据，开展产品制造全过程仿真，优化工艺方案和物料清单，改善工艺流程，降低制造与维护的复杂性及成本。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黑体" w:cs="Times New Roman"/>
          <w:bCs/>
          <w:sz w:val="32"/>
          <w:szCs w:val="32"/>
        </w:rPr>
      </w:pPr>
      <w:r>
        <w:rPr>
          <w:rFonts w:hint="default" w:ascii="Times New Roman" w:hAnsi="Times New Roman" w:eastAsia="黑体" w:cs="Times New Roman"/>
          <w:bCs/>
          <w:sz w:val="32"/>
          <w:szCs w:val="32"/>
        </w:rPr>
        <w:t>四、计划调度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通过市场订单预测、产能平衡分析、生产计划制定和智能排产，开展订单驱动的计划排程，优化资源配置，提高生产效率。</w:t>
      </w:r>
    </w:p>
    <w:p>
      <w:pPr>
        <w:spacing w:line="580" w:lineRule="exact"/>
        <w:ind w:firstLine="642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楷体" w:cs="Times New Roman"/>
          <w:b/>
          <w:bCs/>
          <w:sz w:val="32"/>
          <w:szCs w:val="32"/>
        </w:rPr>
        <w:t>8.生产计优化。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构建企业资源管理系统，应用约束理论、寻优算法和专家系统等技术，实现基于采购提前期、安全库存和市场需求的生产计划优化。</w:t>
      </w:r>
    </w:p>
    <w:p>
      <w:pPr>
        <w:spacing w:line="580" w:lineRule="exact"/>
        <w:ind w:firstLine="642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楷体" w:cs="Times New Roman"/>
          <w:b/>
          <w:bCs/>
          <w:sz w:val="32"/>
          <w:szCs w:val="32"/>
        </w:rPr>
        <w:t>9.车间智能排产。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应用计划排程系统，集成调度机理建模、寻优算法等技术，实现基于多约束和动态扰动条件下的车间排产优化。</w:t>
      </w:r>
    </w:p>
    <w:p>
      <w:pPr>
        <w:spacing w:line="580" w:lineRule="exact"/>
        <w:ind w:firstLine="642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楷体" w:cs="Times New Roman"/>
          <w:b/>
          <w:bCs/>
          <w:sz w:val="32"/>
          <w:szCs w:val="32"/>
        </w:rPr>
        <w:t>10.资源动态配置。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依托制造执行系统，集成大数据、运筹优化、专家系统等技术，开展基于资源匹配、绩效优化的精准派工，实现人力、设备、物料等制造资源的动态配置。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黑体" w:cs="Times New Roman"/>
          <w:bCs/>
          <w:sz w:val="32"/>
          <w:szCs w:val="32"/>
        </w:rPr>
      </w:pPr>
      <w:r>
        <w:rPr>
          <w:rFonts w:hint="default" w:ascii="Times New Roman" w:hAnsi="Times New Roman" w:eastAsia="黑体" w:cs="Times New Roman"/>
          <w:bCs/>
          <w:sz w:val="32"/>
          <w:szCs w:val="32"/>
        </w:rPr>
        <w:t>五、生产作业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部署智能制造装备，通过精益生产管理、工艺过程控制优化、产线灵活配置、设备协同作业，实现智能化生产作业和精细化生产管控，提高生产效率，降低成本。</w:t>
      </w:r>
    </w:p>
    <w:p>
      <w:pPr>
        <w:spacing w:line="580" w:lineRule="exact"/>
        <w:ind w:firstLine="642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楷体" w:cs="Times New Roman"/>
          <w:b/>
          <w:bCs/>
          <w:sz w:val="32"/>
          <w:szCs w:val="32"/>
        </w:rPr>
        <w:t>11.精益生产管理。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应用六西格玛、5S管理和定置管理等精益工具和方法，开展相关信息化系统建设，实现基于数据驱动的人、机、料等精确管控，提高效率，消除浪费。</w:t>
      </w:r>
    </w:p>
    <w:p>
      <w:pPr>
        <w:spacing w:line="580" w:lineRule="exact"/>
        <w:ind w:firstLine="642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楷体" w:cs="Times New Roman"/>
          <w:b/>
          <w:bCs/>
          <w:sz w:val="32"/>
          <w:szCs w:val="32"/>
        </w:rPr>
        <w:t>12.先进过程控制。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部署智能制造装备，依托先进过程控制系统，融合工艺机理分析、多尺度物性表征和建模、实时优化和预测控制等技术，实现精准、实时和闭环的过程控制。</w:t>
      </w:r>
    </w:p>
    <w:p>
      <w:pPr>
        <w:spacing w:line="580" w:lineRule="exact"/>
        <w:ind w:firstLine="642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楷体" w:cs="Times New Roman"/>
          <w:b/>
          <w:bCs/>
          <w:sz w:val="32"/>
          <w:szCs w:val="32"/>
        </w:rPr>
        <w:t>13.工艺动态优化。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部署智能制造装备，搭建生产过程全流程一体化管控平台，应用工艺机理分析、多尺度物性表征和流程建模、机器学习等技术，动态优化调整工艺流程/参数。</w:t>
      </w:r>
    </w:p>
    <w:p>
      <w:pPr>
        <w:spacing w:line="580" w:lineRule="exact"/>
        <w:ind w:firstLine="642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楷体" w:cs="Times New Roman"/>
          <w:b/>
          <w:bCs/>
          <w:sz w:val="32"/>
          <w:szCs w:val="32"/>
        </w:rPr>
        <w:t>14.产线柔性配置。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部署智能制造装备，应用模块化、成组和产线重构等技术，搭建柔性可重构产线，根据订单、工况等变化实现产线的快速调整和按需配置，实现多种产品自动化混线生产。</w:t>
      </w:r>
    </w:p>
    <w:p>
      <w:pPr>
        <w:spacing w:line="580" w:lineRule="exact"/>
        <w:ind w:firstLine="642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楷体" w:cs="Times New Roman"/>
          <w:b/>
          <w:bCs/>
          <w:sz w:val="32"/>
          <w:szCs w:val="32"/>
        </w:rPr>
        <w:t>15.智能协同作业。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部署智能制造装备，基于5G、TSN等新型网络技术建设生产现场设备控制系统，实现生产设备、物流装备、生产线等实时控制和高效协同作业。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黑体" w:cs="Times New Roman"/>
          <w:bCs/>
          <w:sz w:val="32"/>
          <w:szCs w:val="32"/>
        </w:rPr>
      </w:pPr>
      <w:r>
        <w:rPr>
          <w:rFonts w:hint="default" w:ascii="Times New Roman" w:hAnsi="Times New Roman" w:eastAsia="黑体" w:cs="Times New Roman"/>
          <w:bCs/>
          <w:sz w:val="32"/>
          <w:szCs w:val="32"/>
        </w:rPr>
        <w:t>六、质量管控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部署智能检测装备等，通过智能在线检测、质量数据统计分析和全流程质量追溯，实现精细化质量管控，降低不合格品率，持续提升产品质量。</w:t>
      </w:r>
    </w:p>
    <w:p>
      <w:pPr>
        <w:spacing w:line="580" w:lineRule="exact"/>
        <w:ind w:firstLine="642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楷体" w:cs="Times New Roman"/>
          <w:b/>
          <w:bCs/>
          <w:sz w:val="32"/>
          <w:szCs w:val="32"/>
        </w:rPr>
        <w:t>16.智能在线检测。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部署智能检测装备，融合5G、机器视觉、缺陷机理分析、物性和成分分析等技术，开展产品质量等在线检测、分析、评级、预测。</w:t>
      </w:r>
    </w:p>
    <w:p>
      <w:pPr>
        <w:spacing w:line="580" w:lineRule="exact"/>
        <w:ind w:firstLine="642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楷体" w:cs="Times New Roman"/>
          <w:b/>
          <w:bCs/>
          <w:sz w:val="32"/>
          <w:szCs w:val="32"/>
        </w:rPr>
        <w:t>17.质量精准追溯。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建设质量管理系统，集成5G、区块链、标识解析等技术，采集产品原料、设计、生产、使用等质量信息，实现产品全生命周期质量精准追溯。</w:t>
      </w:r>
    </w:p>
    <w:p>
      <w:pPr>
        <w:spacing w:line="580" w:lineRule="exact"/>
        <w:ind w:firstLine="642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楷体" w:cs="Times New Roman"/>
          <w:b/>
          <w:bCs/>
          <w:sz w:val="32"/>
          <w:szCs w:val="32"/>
        </w:rPr>
        <w:t>18.产品质量优化。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依托质量管理系统和知识库，集成质量设计优化、质量机理分析等技术，进行产品质量影响因素识别、缺陷分析预测和质量优化提升。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黑体" w:cs="Times New Roman"/>
          <w:bCs/>
          <w:sz w:val="32"/>
          <w:szCs w:val="32"/>
        </w:rPr>
      </w:pPr>
      <w:r>
        <w:rPr>
          <w:rFonts w:hint="default" w:ascii="Times New Roman" w:hAnsi="Times New Roman" w:eastAsia="黑体" w:cs="Times New Roman"/>
          <w:bCs/>
          <w:sz w:val="32"/>
          <w:szCs w:val="32"/>
        </w:rPr>
        <w:t>七、设备管理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部署智能传感与控制装备等，建设设备管理系统，通过运行监测、故障诊断和运行优化，实现设备全生命周期管理和预测性维护，提升设备运行效率、可靠性和精度保持性。</w:t>
      </w:r>
    </w:p>
    <w:p>
      <w:pPr>
        <w:spacing w:line="580" w:lineRule="exact"/>
        <w:ind w:firstLine="642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楷体" w:cs="Times New Roman"/>
          <w:b/>
          <w:bCs/>
          <w:sz w:val="32"/>
          <w:szCs w:val="32"/>
        </w:rPr>
        <w:t>19.在线运行监测。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集成智能传感、5G、机器视觉、故障检测等技术，通过自动巡检、在线运行监测等方式，判定设备运行状态，开展性能分析和异常报警，提高控制效率。</w:t>
      </w:r>
    </w:p>
    <w:p>
      <w:pPr>
        <w:spacing w:line="580" w:lineRule="exact"/>
        <w:ind w:firstLine="642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楷体" w:cs="Times New Roman"/>
          <w:b/>
          <w:bCs/>
          <w:sz w:val="32"/>
          <w:szCs w:val="32"/>
        </w:rPr>
        <w:t>20.设备故障诊断与预测。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综合运用物联网、机器学习、故障机理分析等技术，建立设备故障诊断和预测模型，精准判断设备失效模式，开展预测性维护，减少意外停机，降低运维成本。</w:t>
      </w:r>
    </w:p>
    <w:p>
      <w:pPr>
        <w:spacing w:line="580" w:lineRule="exact"/>
        <w:ind w:firstLine="642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楷体" w:cs="Times New Roman"/>
          <w:b/>
          <w:bCs/>
          <w:sz w:val="32"/>
          <w:szCs w:val="32"/>
        </w:rPr>
        <w:t>21.设备运行优化。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建设设备健康管理系统，基于模型对设备运行状态、工作环境等进行综合分析，调整优化设备运行参数，提高产量，降低能耗，延长设备使用寿命。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bCs/>
          <w:sz w:val="32"/>
          <w:szCs w:val="32"/>
        </w:rPr>
        <w:t>八、仓储物流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部署智能物流与仓储装备等，通过精准配送计划、自动出入库（进出厂）、自动物流配送和跟踪管理，实现精细仓储管理和高效物流配送，提高物流效率和降低库存量。</w:t>
      </w:r>
    </w:p>
    <w:p>
      <w:pPr>
        <w:spacing w:line="580" w:lineRule="exact"/>
        <w:ind w:firstLine="642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楷体" w:cs="Times New Roman"/>
          <w:b/>
          <w:bCs/>
          <w:sz w:val="32"/>
          <w:szCs w:val="32"/>
        </w:rPr>
        <w:t>22.智能仓储。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建设智能仓储系统，应用条码、射频识别、智能传感等技术，依据实际生产作业计划，实现物料自动入库（进厂）、盘库和出库（出厂）。</w:t>
      </w:r>
    </w:p>
    <w:p>
      <w:pPr>
        <w:spacing w:line="580" w:lineRule="exact"/>
        <w:ind w:firstLine="642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楷体" w:cs="Times New Roman"/>
          <w:b/>
          <w:bCs/>
          <w:sz w:val="32"/>
          <w:szCs w:val="32"/>
        </w:rPr>
        <w:t>23.精准配送。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集成智能仓储系统和智能物流装备，应用实时定位、机器学习等技术，实现原材料、在制品、产成品流转全程跟踪，以及物流动态调度、自动配送和路径优化。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黑体" w:cs="Times New Roman"/>
          <w:bCs/>
          <w:sz w:val="32"/>
          <w:szCs w:val="32"/>
        </w:rPr>
      </w:pPr>
      <w:r>
        <w:rPr>
          <w:rFonts w:hint="default" w:ascii="Times New Roman" w:hAnsi="Times New Roman" w:eastAsia="黑体" w:cs="Times New Roman"/>
          <w:bCs/>
          <w:sz w:val="32"/>
          <w:szCs w:val="32"/>
        </w:rPr>
        <w:t>九、安全管控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部署智能传感与控制装备等，通过安全风险实时监测与应急处置、危险作业自动化运行，实现面向工厂全环节的安全综合管控，确保安全风险与隐患的可预知、可控制。</w:t>
      </w:r>
    </w:p>
    <w:p>
      <w:pPr>
        <w:spacing w:line="580" w:lineRule="exact"/>
        <w:ind w:firstLine="642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楷体" w:cs="Times New Roman"/>
          <w:b/>
          <w:bCs/>
          <w:sz w:val="32"/>
          <w:szCs w:val="32"/>
        </w:rPr>
        <w:t>24.安全风险实时监测与应急处置。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依托感知装置和安全生产管理系统，基于智能传感、机器视觉、特征分析</w:t>
      </w:r>
      <w:r>
        <w:rPr>
          <w:rFonts w:hint="default" w:ascii="Times New Roman" w:hAnsi="Times New Roman" w:eastAsia="楷体" w:cs="Times New Roman"/>
          <w:sz w:val="32"/>
          <w:szCs w:val="32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专家系统等技术，动态感知、精准识别危化品、危险环节等各类风险，实现安全事件的快速响应和智能处置。</w:t>
      </w:r>
    </w:p>
    <w:p>
      <w:pPr>
        <w:spacing w:line="580" w:lineRule="exact"/>
        <w:ind w:firstLine="642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楷体" w:cs="Times New Roman"/>
          <w:b/>
          <w:bCs/>
          <w:sz w:val="32"/>
          <w:szCs w:val="32"/>
        </w:rPr>
        <w:t>25.危险作业自动化。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部署智能制造装备，集成智能传感、机器视觉、机器人、5G等技术，打造自动化产线，实现危险作业环节的少人化、无人化。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bCs/>
          <w:sz w:val="32"/>
          <w:szCs w:val="32"/>
        </w:rPr>
        <w:t>十、能源管理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部署智能传感与控制装备等，通过能耗全面监测、能效分析优化和碳资产管理，实现面向制造全过程的精细化能源管理，提高能源利用率，降低能耗成本。</w:t>
      </w:r>
    </w:p>
    <w:p>
      <w:pPr>
        <w:spacing w:line="580" w:lineRule="exact"/>
        <w:ind w:firstLine="642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楷体" w:cs="Times New Roman"/>
          <w:b/>
          <w:bCs/>
          <w:sz w:val="32"/>
          <w:szCs w:val="32"/>
        </w:rPr>
        <w:t>26.能耗数据监测。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基于能源管理系统，应用智能传感、大数据、5G等技术，开展全环节、全要素能耗数据采集、计量和可视化监测。</w:t>
      </w:r>
    </w:p>
    <w:p>
      <w:pPr>
        <w:spacing w:line="580" w:lineRule="exact"/>
        <w:ind w:firstLine="642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楷体" w:cs="Times New Roman"/>
          <w:b/>
          <w:bCs/>
          <w:sz w:val="32"/>
          <w:szCs w:val="32"/>
        </w:rPr>
        <w:t>27.能效平衡与优化。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应用能效优化机理分析、大数据和深度学习等技术，优化设备运行参数或工艺参数，实现关键设备、关键环节等能源综合平衡与优化调度。</w:t>
      </w:r>
    </w:p>
    <w:p>
      <w:pPr>
        <w:spacing w:line="580" w:lineRule="exact"/>
        <w:ind w:firstLine="642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楷体" w:cs="Times New Roman"/>
          <w:b/>
          <w:bCs/>
          <w:sz w:val="32"/>
          <w:szCs w:val="32"/>
        </w:rPr>
        <w:t>28.碳资产管理。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开发碳资产管理平台和行业成套装备，集成智能传感、大数据和区块链等技术，实现全流程的碳排放追踪、分析、核算和交易。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黑体" w:cs="Times New Roman"/>
          <w:bCs/>
          <w:sz w:val="32"/>
          <w:szCs w:val="32"/>
        </w:rPr>
      </w:pPr>
      <w:r>
        <w:rPr>
          <w:rFonts w:hint="default" w:ascii="Times New Roman" w:hAnsi="Times New Roman" w:eastAsia="黑体" w:cs="Times New Roman"/>
          <w:bCs/>
          <w:sz w:val="32"/>
          <w:szCs w:val="32"/>
        </w:rPr>
        <w:t>十一、环保管控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部署智能传感与控制装备等，通过污染管理与环境监测、废弃物处置与再利用，实现环保精细管控，降低污染物排放，消除环境污染风险。</w:t>
      </w:r>
    </w:p>
    <w:p>
      <w:pPr>
        <w:spacing w:line="580" w:lineRule="exact"/>
        <w:ind w:firstLine="642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楷体" w:cs="Times New Roman"/>
          <w:b/>
          <w:bCs/>
          <w:sz w:val="32"/>
          <w:szCs w:val="32"/>
        </w:rPr>
        <w:t>29.污染监测与管控。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搭建环保管理平台，应用机器视觉、智能传感和大数据等技术，开展排放实时监测和污染源管理，实现全过程环保数据的采集、监控与分析优化。</w:t>
      </w:r>
    </w:p>
    <w:p>
      <w:pPr>
        <w:spacing w:line="580" w:lineRule="exact"/>
        <w:ind w:firstLine="642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楷体" w:cs="Times New Roman"/>
          <w:b/>
          <w:bCs/>
          <w:sz w:val="32"/>
          <w:szCs w:val="32"/>
        </w:rPr>
        <w:t>30.废弃物处置与再利用。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搭建废弃物管理平台和行业成套装备，融合条码、物联网和5G等技术，实现废弃物处置与循环再利用全过程的监控、追溯。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黑体" w:cs="Times New Roman"/>
          <w:bCs/>
          <w:sz w:val="32"/>
          <w:szCs w:val="32"/>
        </w:rPr>
      </w:pPr>
      <w:r>
        <w:rPr>
          <w:rFonts w:hint="default" w:ascii="Times New Roman" w:hAnsi="Times New Roman" w:eastAsia="黑体" w:cs="Times New Roman"/>
          <w:bCs/>
          <w:sz w:val="32"/>
          <w:szCs w:val="32"/>
        </w:rPr>
        <w:t>十二、营销管理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通过市场趋势预测、用户需求挖掘和数据分析，优化销售计划，实现需求驱动的精准营销，提高营销效率，降低营销成本。</w:t>
      </w:r>
    </w:p>
    <w:p>
      <w:pPr>
        <w:spacing w:line="580" w:lineRule="exact"/>
        <w:ind w:firstLine="642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楷体" w:cs="Times New Roman"/>
          <w:b/>
          <w:bCs/>
          <w:sz w:val="32"/>
          <w:szCs w:val="32"/>
        </w:rPr>
        <w:t>31.市场快速分析预测。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应用大数据、深度学习等技术，实现对市场未来供求趋势、影响因素及其变化规律的精准分析、判断和预测。</w:t>
      </w:r>
    </w:p>
    <w:p>
      <w:pPr>
        <w:spacing w:line="580" w:lineRule="exact"/>
        <w:ind w:firstLine="642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楷体" w:cs="Times New Roman"/>
          <w:b/>
          <w:bCs/>
          <w:sz w:val="32"/>
          <w:szCs w:val="32"/>
        </w:rPr>
        <w:t>32.销售驱动业务优化。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应用大数据、机器学习、知识图谱等技术，构建用户画像和需求预测模型，制定精准销售计划，动态调整设计、采购、生产、物流等方案。 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黑体" w:cs="Times New Roman"/>
          <w:bCs/>
          <w:sz w:val="32"/>
          <w:szCs w:val="32"/>
        </w:rPr>
      </w:pPr>
      <w:r>
        <w:rPr>
          <w:rFonts w:hint="default" w:ascii="Times New Roman" w:hAnsi="Times New Roman" w:eastAsia="黑体" w:cs="Times New Roman"/>
          <w:bCs/>
          <w:sz w:val="32"/>
          <w:szCs w:val="32"/>
        </w:rPr>
        <w:t>十三、售后服务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通过服务需求挖掘、主动式服务推送和远程产品运维服务等，实现个性化服务需求的精准响应，不断提升产品体验，增强客户粘性。</w:t>
      </w:r>
    </w:p>
    <w:p>
      <w:pPr>
        <w:spacing w:line="580" w:lineRule="exact"/>
        <w:ind w:firstLine="642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楷体" w:cs="Times New Roman"/>
          <w:b/>
          <w:bCs/>
          <w:sz w:val="32"/>
          <w:szCs w:val="32"/>
        </w:rPr>
        <w:t>33.主动客户服务。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建设客户关系管理系统，集成大数据、知识图谱和自然语言处理等技术，实现客户需求分析、精细化管理，提供主动式客户服务。</w:t>
      </w:r>
    </w:p>
    <w:p>
      <w:pPr>
        <w:spacing w:line="580" w:lineRule="exact"/>
        <w:ind w:firstLine="642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楷体" w:cs="Times New Roman"/>
          <w:b/>
          <w:bCs/>
          <w:sz w:val="32"/>
          <w:szCs w:val="32"/>
        </w:rPr>
        <w:t>34.产品远程运维。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建立产品远程运维管理平台，集成智能传感、大数据和5G等技术，实现基于运行数据的产品远程运维、预测性维护和产品设计的持续改进。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黑体" w:cs="Times New Roman"/>
          <w:bCs/>
          <w:sz w:val="32"/>
          <w:szCs w:val="32"/>
        </w:rPr>
      </w:pPr>
      <w:r>
        <w:rPr>
          <w:rFonts w:hint="default" w:ascii="Times New Roman" w:hAnsi="Times New Roman" w:eastAsia="黑体" w:cs="Times New Roman"/>
          <w:bCs/>
          <w:sz w:val="32"/>
          <w:szCs w:val="32"/>
        </w:rPr>
        <w:t>十四、供应链管理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通过采购策略优化、供应链可视化、物流监测优化、风险预警与弹性管控等，实现供应链智慧管理，提升供应链效能、柔性和韧性。</w:t>
      </w:r>
    </w:p>
    <w:p>
      <w:pPr>
        <w:spacing w:line="580" w:lineRule="exact"/>
        <w:ind w:firstLine="642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楷体" w:cs="Times New Roman"/>
          <w:b/>
          <w:bCs/>
          <w:sz w:val="32"/>
          <w:szCs w:val="32"/>
        </w:rPr>
        <w:t>35.采购策略优化。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建设供应链管理系统，集成大数据、寻优算法和知识图谱等技术，实现供应商综合评价、采购需求精准决策和采购方案动态优化。</w:t>
      </w:r>
    </w:p>
    <w:p>
      <w:pPr>
        <w:spacing w:line="580" w:lineRule="exact"/>
        <w:ind w:firstLine="642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楷体" w:cs="Times New Roman"/>
          <w:b/>
          <w:bCs/>
          <w:sz w:val="32"/>
          <w:szCs w:val="32"/>
        </w:rPr>
        <w:t>36.供应链可视化。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建设供应链管理系统，融合大数据和区块链等技术，打通上下游企业数据，实现供应链可视化监控和综合绩效分析。</w:t>
      </w:r>
    </w:p>
    <w:p>
      <w:pPr>
        <w:spacing w:line="580" w:lineRule="exact"/>
        <w:ind w:firstLine="642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楷体" w:cs="Times New Roman"/>
          <w:b/>
          <w:bCs/>
          <w:sz w:val="32"/>
          <w:szCs w:val="32"/>
        </w:rPr>
        <w:t>37.物流实时监测与优化。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依托运输管理系统，应用智能传感、物联网、实时定位和深度学习等技术，实现运输配送全程跟踪和异常预警、装载能力和配送路径优化。</w:t>
      </w:r>
    </w:p>
    <w:p>
      <w:pPr>
        <w:spacing w:line="580" w:lineRule="exact"/>
        <w:ind w:firstLine="642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楷体" w:cs="Times New Roman"/>
          <w:b/>
          <w:bCs/>
          <w:sz w:val="32"/>
          <w:szCs w:val="32"/>
        </w:rPr>
        <w:t>38.供应链风险预警与弹性管控。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建立供应链管理系统，集成大数据、知识图谱和远程管理等技术，开展供应链风险隐患识别、定位、预警和高效处置。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黑体" w:cs="Times New Roman"/>
          <w:bCs/>
          <w:sz w:val="32"/>
          <w:szCs w:val="32"/>
        </w:rPr>
      </w:pPr>
      <w:r>
        <w:rPr>
          <w:rFonts w:hint="default" w:ascii="Times New Roman" w:hAnsi="Times New Roman" w:eastAsia="黑体" w:cs="Times New Roman"/>
          <w:bCs/>
          <w:sz w:val="32"/>
          <w:szCs w:val="32"/>
        </w:rPr>
        <w:t>十五、数字基建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通过建设数字基础设施，推动工业数据治理与可信流通、工业知识软件化，持续提升各环节数据的采集、处理、共享、分析、应用能力，支撑工厂业务运行与优化创新。</w:t>
      </w:r>
    </w:p>
    <w:p>
      <w:pPr>
        <w:spacing w:line="580" w:lineRule="exact"/>
        <w:ind w:firstLine="642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楷体" w:cs="Times New Roman"/>
          <w:b/>
          <w:bCs/>
          <w:sz w:val="32"/>
          <w:szCs w:val="32"/>
        </w:rPr>
        <w:t>39.数字基础设施集成。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部署工业互联网、物联网、5G、千兆光网等新型网络基础设施，建设工业数据中心、智能计算中心、工业互联网平台以及网络、数据、功能等各类安全系统，完善支撑数字业务运行的信息基础设施。</w:t>
      </w:r>
    </w:p>
    <w:p>
      <w:pPr>
        <w:spacing w:line="580" w:lineRule="exact"/>
        <w:ind w:firstLine="642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楷体" w:cs="Times New Roman"/>
          <w:b/>
          <w:bCs/>
          <w:sz w:val="32"/>
          <w:szCs w:val="32"/>
        </w:rPr>
        <w:t>40.数据治理与流通。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应用云计算、大数据、隐私计算、区块链等技术，构建可信数据空间，实现企业内数据的有效治理和分析利用，推动企业间数据安全可信流通，充分释放数据价值。</w:t>
      </w:r>
    </w:p>
    <w:p>
      <w:pPr>
        <w:spacing w:line="580" w:lineRule="exact"/>
        <w:ind w:firstLine="642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楷体" w:cs="Times New Roman"/>
          <w:b/>
          <w:bCs/>
          <w:sz w:val="32"/>
          <w:szCs w:val="32"/>
        </w:rPr>
        <w:t>41.工业知识软件化。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应用大数据、知识图谱、知识自动化等技术，将工业技术、工艺经验、制造方法沉淀为数据和机理模型，与先进制造装备相结合，建设知识库和模型库，开发各类新型工业软件，支撑业务创新。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黑体" w:cs="Times New Roman"/>
          <w:bCs/>
          <w:sz w:val="32"/>
          <w:szCs w:val="32"/>
        </w:rPr>
      </w:pPr>
      <w:r>
        <w:rPr>
          <w:rFonts w:hint="default" w:ascii="Times New Roman" w:hAnsi="Times New Roman" w:eastAsia="黑体" w:cs="Times New Roman"/>
          <w:bCs/>
          <w:sz w:val="32"/>
          <w:szCs w:val="32"/>
        </w:rPr>
        <w:t>十六、模式创新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面向企业全价值链、产品全生命周期和全资产要素，通过新一代信息技术和先进制造技术融合，推动关键技术装备创新、制造模式创新和商业模式创新，创造新价值。</w:t>
      </w:r>
    </w:p>
    <w:p>
      <w:pPr>
        <w:spacing w:line="580" w:lineRule="exact"/>
        <w:ind w:firstLine="642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楷体" w:cs="Times New Roman"/>
          <w:b/>
          <w:bCs/>
          <w:sz w:val="32"/>
          <w:szCs w:val="32"/>
        </w:rPr>
        <w:t>42.网络协同制造。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建立网络协同平台，推动企业间设计、生产、管理、服务等环节紧密连接，实现基于网络的生产业务并行协同，并将富余的制造能力对外输出，优化配置制造资源。</w:t>
      </w:r>
    </w:p>
    <w:p>
      <w:pPr>
        <w:spacing w:line="580" w:lineRule="exact"/>
        <w:ind w:firstLine="642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楷体" w:cs="Times New Roman"/>
          <w:b/>
          <w:bCs/>
          <w:sz w:val="32"/>
          <w:szCs w:val="32"/>
        </w:rPr>
        <w:t>43.大规模个性化定制。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部署智能制造装备，通过生产柔性化、敏捷化和产品模块化，根据客户的个性化需求，以大批量生产的低成本、高质量和高效率提供定制化的产品和服务。</w:t>
      </w:r>
    </w:p>
    <w:p>
      <w:pPr>
        <w:spacing w:line="580" w:lineRule="exact"/>
        <w:ind w:firstLine="642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楷体" w:cs="Times New Roman"/>
          <w:b/>
          <w:bCs/>
          <w:sz w:val="32"/>
          <w:szCs w:val="32"/>
        </w:rPr>
        <w:t>44.人机协同制造。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应用人工智能、AR/VR、5G、新型传感等技术，提高高档数控机床、工业机器人、行业成套装备等智能制造装备与人员的交互、协同作业等能力，实现基于高精度空间定位与追踪、动作感知、自然语言处理、情绪识别等功能的自主协同。</w:t>
      </w:r>
    </w:p>
    <w:p>
      <w:pPr>
        <w:spacing w:line="580" w:lineRule="exact"/>
        <w:ind w:firstLine="642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楷体" w:cs="Times New Roman"/>
          <w:b/>
          <w:bCs/>
          <w:sz w:val="32"/>
          <w:szCs w:val="32"/>
        </w:rPr>
        <w:t>45.数据驱动服务。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分析产品运行工况、维修保养、故障缺陷等数据，应用大数据、专家系统等技术，开拓专业服务、设备估值、融资租赁、资产处置等新业务，创造新价值。</w:t>
      </w:r>
    </w:p>
    <w:p>
      <w:pPr>
        <w:snapToGrid w:val="0"/>
        <w:spacing w:line="560" w:lineRule="exact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outlineLvl w:val="0"/>
        <w:rPr>
          <w:rFonts w:hint="default" w:ascii="Times New Roman" w:hAnsi="Times New Roman" w:eastAsia="黑体" w:cs="Times New Roman"/>
          <w:color w:val="070707"/>
          <w:sz w:val="32"/>
          <w:szCs w:val="32"/>
        </w:rPr>
      </w:pPr>
    </w:p>
    <w:p>
      <w:pPr>
        <w:outlineLvl w:val="0"/>
        <w:rPr>
          <w:rFonts w:hint="default" w:ascii="Times New Roman" w:hAnsi="Times New Roman" w:eastAsia="黑体" w:cs="Times New Roman"/>
          <w:color w:val="070707"/>
          <w:sz w:val="32"/>
          <w:szCs w:val="32"/>
        </w:rPr>
      </w:pPr>
    </w:p>
    <w:p>
      <w:pPr>
        <w:outlineLvl w:val="0"/>
        <w:rPr>
          <w:rFonts w:hint="default" w:ascii="Times New Roman" w:hAnsi="Times New Roman" w:eastAsia="黑体" w:cs="Times New Roman"/>
          <w:color w:val="070707"/>
          <w:sz w:val="32"/>
          <w:szCs w:val="32"/>
        </w:rPr>
      </w:pPr>
    </w:p>
    <w:p>
      <w:pPr>
        <w:outlineLvl w:val="0"/>
        <w:rPr>
          <w:rFonts w:hint="default" w:ascii="Times New Roman" w:hAnsi="Times New Roman" w:eastAsia="黑体" w:cs="Times New Roman"/>
          <w:color w:val="070707"/>
          <w:sz w:val="32"/>
          <w:szCs w:val="32"/>
        </w:rPr>
      </w:pPr>
    </w:p>
    <w:p>
      <w:pPr>
        <w:outlineLvl w:val="0"/>
        <w:rPr>
          <w:rFonts w:hint="default" w:ascii="Times New Roman" w:hAnsi="Times New Roman" w:eastAsia="黑体" w:cs="Times New Roman"/>
          <w:color w:val="070707"/>
          <w:sz w:val="32"/>
          <w:szCs w:val="32"/>
        </w:rPr>
      </w:pPr>
    </w:p>
    <w:p>
      <w:pPr>
        <w:outlineLvl w:val="0"/>
        <w:rPr>
          <w:rFonts w:hint="default" w:ascii="Times New Roman" w:hAnsi="Times New Roman" w:eastAsia="黑体" w:cs="Times New Roman"/>
          <w:color w:val="070707"/>
          <w:sz w:val="32"/>
          <w:szCs w:val="32"/>
        </w:rPr>
      </w:pPr>
    </w:p>
    <w:p>
      <w:pPr>
        <w:outlineLvl w:val="0"/>
        <w:rPr>
          <w:rFonts w:hint="default" w:ascii="Times New Roman" w:hAnsi="Times New Roman" w:eastAsia="黑体" w:cs="Times New Roman"/>
          <w:color w:val="070707"/>
          <w:sz w:val="32"/>
          <w:szCs w:val="32"/>
        </w:rPr>
      </w:pPr>
    </w:p>
    <w:p>
      <w:pPr>
        <w:outlineLvl w:val="0"/>
        <w:rPr>
          <w:rFonts w:hint="default" w:ascii="Times New Roman" w:hAnsi="Times New Roman" w:eastAsia="黑体" w:cs="Times New Roman"/>
          <w:color w:val="070707"/>
          <w:sz w:val="32"/>
          <w:szCs w:val="32"/>
        </w:rPr>
      </w:pPr>
    </w:p>
    <w:p>
      <w:pPr>
        <w:outlineLvl w:val="0"/>
        <w:rPr>
          <w:rFonts w:hint="default" w:ascii="Times New Roman" w:hAnsi="Times New Roman" w:eastAsia="黑体" w:cs="Times New Roman"/>
          <w:color w:val="070707"/>
          <w:sz w:val="32"/>
          <w:szCs w:val="32"/>
        </w:rPr>
      </w:pPr>
    </w:p>
    <w:p>
      <w:pPr>
        <w:outlineLvl w:val="0"/>
        <w:rPr>
          <w:rFonts w:hint="default" w:ascii="Times New Roman" w:hAnsi="Times New Roman" w:eastAsia="黑体" w:cs="Times New Roman"/>
          <w:color w:val="070707"/>
          <w:sz w:val="32"/>
          <w:szCs w:val="32"/>
        </w:rPr>
      </w:pPr>
    </w:p>
    <w:p>
      <w:pPr>
        <w:outlineLvl w:val="0"/>
        <w:rPr>
          <w:rFonts w:hint="default" w:ascii="Times New Roman" w:hAnsi="Times New Roman" w:eastAsia="黑体" w:cs="Times New Roman"/>
          <w:color w:val="070707"/>
          <w:sz w:val="32"/>
          <w:szCs w:val="32"/>
        </w:rPr>
      </w:pPr>
    </w:p>
    <w:p>
      <w:pPr>
        <w:outlineLvl w:val="0"/>
        <w:rPr>
          <w:rFonts w:hint="default" w:ascii="Times New Roman" w:hAnsi="Times New Roman" w:eastAsia="黑体" w:cs="Times New Roman"/>
          <w:color w:val="070707"/>
          <w:sz w:val="32"/>
          <w:szCs w:val="32"/>
        </w:rPr>
      </w:pPr>
    </w:p>
    <w:p>
      <w:pPr>
        <w:outlineLvl w:val="0"/>
        <w:rPr>
          <w:rFonts w:hint="default" w:ascii="Times New Roman" w:hAnsi="Times New Roman" w:eastAsia="黑体" w:cs="Times New Roman"/>
          <w:color w:val="070707"/>
          <w:sz w:val="32"/>
          <w:szCs w:val="32"/>
        </w:rPr>
      </w:pPr>
    </w:p>
    <w:p>
      <w:pPr>
        <w:outlineLvl w:val="0"/>
        <w:rPr>
          <w:rFonts w:hint="default" w:ascii="Times New Roman" w:hAnsi="Times New Roman" w:eastAsia="黑体" w:cs="Times New Roman"/>
          <w:color w:val="070707"/>
          <w:sz w:val="32"/>
          <w:szCs w:val="32"/>
        </w:rPr>
      </w:pPr>
    </w:p>
    <w:p>
      <w:pPr>
        <w:outlineLvl w:val="0"/>
        <w:rPr>
          <w:rFonts w:hint="default" w:ascii="Times New Roman" w:hAnsi="Times New Roman" w:eastAsia="黑体" w:cs="Times New Roman"/>
          <w:color w:val="070707"/>
          <w:sz w:val="32"/>
          <w:szCs w:val="32"/>
        </w:rPr>
      </w:pPr>
    </w:p>
    <w:p>
      <w:pPr>
        <w:outlineLvl w:val="0"/>
        <w:rPr>
          <w:rFonts w:hint="default" w:ascii="Times New Roman" w:hAnsi="Times New Roman" w:eastAsia="黑体" w:cs="Times New Roman"/>
          <w:color w:val="070707"/>
          <w:sz w:val="32"/>
          <w:szCs w:val="32"/>
        </w:rPr>
      </w:pPr>
    </w:p>
    <w:p>
      <w:pPr>
        <w:outlineLvl w:val="0"/>
        <w:rPr>
          <w:rFonts w:hint="eastAsia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color w:val="070707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color w:val="070707"/>
          <w:sz w:val="32"/>
          <w:szCs w:val="32"/>
          <w:lang w:val="en-US" w:eastAsia="zh-CN"/>
        </w:rPr>
        <w:t>2</w:t>
      </w:r>
    </w:p>
    <w:p>
      <w:pPr>
        <w:tabs>
          <w:tab w:val="left" w:pos="5220"/>
        </w:tabs>
        <w:rPr>
          <w:rFonts w:hint="default" w:ascii="Times New Roman" w:hAnsi="Times New Roman" w:eastAsia="黑体" w:cs="Times New Roman"/>
          <w:sz w:val="52"/>
          <w:szCs w:val="52"/>
        </w:rPr>
      </w:pPr>
    </w:p>
    <w:p>
      <w:pPr>
        <w:tabs>
          <w:tab w:val="left" w:pos="5220"/>
        </w:tabs>
        <w:jc w:val="center"/>
        <w:outlineLvl w:val="0"/>
        <w:rPr>
          <w:rFonts w:hint="default" w:ascii="Times New Roman" w:hAnsi="Times New Roman" w:eastAsia="方正小标宋简体" w:cs="Times New Roman"/>
          <w:sz w:val="52"/>
          <w:szCs w:val="52"/>
        </w:rPr>
      </w:pPr>
      <w:r>
        <w:rPr>
          <w:rFonts w:hint="default" w:ascii="Times New Roman" w:hAnsi="Times New Roman" w:eastAsia="方正小标宋简体" w:cs="Times New Roman"/>
          <w:sz w:val="52"/>
          <w:szCs w:val="52"/>
        </w:rPr>
        <w:t>2023年湖北省智能制造试点示范企业申报书</w:t>
      </w:r>
    </w:p>
    <w:p>
      <w:pPr>
        <w:rPr>
          <w:rFonts w:hint="default" w:ascii="Times New Roman" w:hAnsi="Times New Roman" w:cs="Times New Roman"/>
          <w:szCs w:val="20"/>
        </w:rPr>
      </w:pPr>
    </w:p>
    <w:p>
      <w:pPr>
        <w:tabs>
          <w:tab w:val="left" w:pos="5220"/>
        </w:tabs>
        <w:rPr>
          <w:rFonts w:hint="default" w:ascii="Times New Roman" w:hAnsi="Times New Roman" w:eastAsia="仿宋_GB2312" w:cs="Times New Roman"/>
          <w:b/>
          <w:sz w:val="32"/>
          <w:szCs w:val="32"/>
        </w:rPr>
      </w:pPr>
    </w:p>
    <w:p>
      <w:pPr>
        <w:tabs>
          <w:tab w:val="left" w:pos="5220"/>
        </w:tabs>
        <w:rPr>
          <w:rFonts w:hint="default" w:ascii="Times New Roman" w:hAnsi="Times New Roman" w:eastAsia="仿宋_GB2312" w:cs="Times New Roman"/>
          <w:b/>
          <w:sz w:val="32"/>
          <w:szCs w:val="32"/>
        </w:rPr>
      </w:pPr>
    </w:p>
    <w:p>
      <w:pPr>
        <w:rPr>
          <w:rFonts w:hint="default" w:ascii="Times New Roman" w:hAnsi="Times New Roman" w:eastAsia="黑体" w:cs="Times New Roman"/>
          <w:sz w:val="32"/>
        </w:rPr>
      </w:pPr>
    </w:p>
    <w:p>
      <w:pPr>
        <w:rPr>
          <w:rFonts w:hint="default" w:ascii="Times New Roman" w:hAnsi="Times New Roman" w:eastAsia="黑体" w:cs="Times New Roman"/>
          <w:sz w:val="32"/>
        </w:rPr>
      </w:pPr>
    </w:p>
    <w:p>
      <w:pPr>
        <w:rPr>
          <w:rFonts w:hint="default" w:ascii="Times New Roman" w:hAnsi="Times New Roman" w:eastAsia="黑体" w:cs="Times New Roman"/>
          <w:sz w:val="32"/>
        </w:rPr>
      </w:pPr>
    </w:p>
    <w:p>
      <w:pPr>
        <w:spacing w:after="143" w:afterLines="50" w:line="480" w:lineRule="auto"/>
        <w:ind w:firstLine="1417" w:firstLineChars="443"/>
        <w:jc w:val="left"/>
        <w:rPr>
          <w:rFonts w:hint="default" w:ascii="Times New Roman" w:hAnsi="Times New Roman" w:eastAsia="黑体" w:cs="Times New Roman"/>
          <w:sz w:val="32"/>
        </w:rPr>
      </w:pPr>
      <w:r>
        <w:rPr>
          <w:rFonts w:hint="default" w:ascii="Times New Roman" w:hAnsi="Times New Roman" w:eastAsia="黑体" w:cs="Times New Roman"/>
          <w:sz w:val="32"/>
        </w:rPr>
        <w:t>申 报 单 位（盖 章）：</w:t>
      </w:r>
    </w:p>
    <w:p>
      <w:pPr>
        <w:spacing w:after="143" w:afterLines="50" w:line="480" w:lineRule="auto"/>
        <w:ind w:firstLine="1417" w:firstLineChars="443"/>
        <w:jc w:val="left"/>
        <w:rPr>
          <w:rFonts w:hint="default" w:ascii="Times New Roman" w:hAnsi="Times New Roman" w:eastAsia="黑体" w:cs="Times New Roman"/>
          <w:sz w:val="32"/>
        </w:rPr>
      </w:pPr>
    </w:p>
    <w:p>
      <w:pPr>
        <w:spacing w:after="143" w:afterLines="50" w:line="480" w:lineRule="auto"/>
        <w:ind w:firstLine="1417" w:firstLineChars="443"/>
        <w:jc w:val="left"/>
        <w:rPr>
          <w:rFonts w:hint="default" w:ascii="Times New Roman" w:hAnsi="Times New Roman" w:eastAsia="黑体" w:cs="Times New Roman"/>
          <w:sz w:val="32"/>
        </w:rPr>
      </w:pPr>
    </w:p>
    <w:p>
      <w:pPr>
        <w:spacing w:after="143" w:afterLines="50" w:line="480" w:lineRule="auto"/>
        <w:ind w:firstLine="1417" w:firstLineChars="443"/>
        <w:jc w:val="left"/>
        <w:rPr>
          <w:rFonts w:hint="default" w:ascii="Times New Roman" w:hAnsi="Times New Roman" w:eastAsia="黑体" w:cs="Times New Roman"/>
          <w:sz w:val="32"/>
        </w:rPr>
      </w:pPr>
      <w:r>
        <w:rPr>
          <w:rFonts w:hint="default" w:ascii="Times New Roman" w:hAnsi="Times New Roman" w:eastAsia="黑体" w:cs="Times New Roman"/>
          <w:sz w:val="32"/>
        </w:rPr>
        <w:t>推 荐 单 位（盖 章）：</w:t>
      </w:r>
    </w:p>
    <w:p>
      <w:pPr>
        <w:spacing w:after="143" w:afterLines="50" w:line="480" w:lineRule="auto"/>
        <w:jc w:val="left"/>
        <w:rPr>
          <w:rFonts w:hint="default" w:ascii="Times New Roman" w:hAnsi="Times New Roman" w:eastAsia="黑体" w:cs="Times New Roman"/>
          <w:sz w:val="32"/>
        </w:rPr>
      </w:pPr>
    </w:p>
    <w:p>
      <w:pPr>
        <w:spacing w:after="143" w:afterLines="50" w:line="480" w:lineRule="auto"/>
        <w:jc w:val="left"/>
        <w:rPr>
          <w:rFonts w:hint="default" w:ascii="Times New Roman" w:hAnsi="Times New Roman" w:eastAsia="黑体" w:cs="Times New Roman"/>
          <w:sz w:val="32"/>
        </w:rPr>
      </w:pPr>
    </w:p>
    <w:p>
      <w:pPr>
        <w:spacing w:after="143" w:afterLines="50" w:line="480" w:lineRule="auto"/>
        <w:ind w:firstLine="1417" w:firstLineChars="443"/>
        <w:rPr>
          <w:rFonts w:hint="default" w:ascii="Times New Roman" w:hAnsi="Times New Roman" w:eastAsia="方正小标宋简体" w:cs="Times New Roman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sz w:val="32"/>
        </w:rPr>
        <w:t>申    报    日   期：  2023年    月    日</w:t>
      </w:r>
    </w:p>
    <w:p>
      <w:pPr>
        <w:snapToGrid w:val="0"/>
        <w:rPr>
          <w:rFonts w:hint="default" w:ascii="Times New Roman" w:hAnsi="Times New Roman" w:eastAsia="方正小标宋简体" w:cs="Times New Roman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rFonts w:hint="default" w:ascii="Times New Roman" w:hAnsi="Times New Roman" w:eastAsia="方正小标宋简体" w:cs="Times New Roman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小标宋简体" w:cs="Times New Roman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br w:type="page"/>
      </w:r>
    </w:p>
    <w:p>
      <w:pPr>
        <w:jc w:val="center"/>
        <w:rPr>
          <w:rFonts w:hint="default" w:ascii="Times New Roman" w:hAnsi="Times New Roman" w:eastAsia="黑体" w:cs="Times New Roman"/>
          <w:bCs/>
          <w:snapToGrid w:val="0"/>
          <w:spacing w:val="2"/>
          <w:sz w:val="32"/>
          <w:szCs w:val="32"/>
        </w:rPr>
      </w:pPr>
      <w:r>
        <w:rPr>
          <w:rFonts w:hint="default" w:ascii="Times New Roman" w:hAnsi="Times New Roman" w:eastAsia="黑体" w:cs="Times New Roman"/>
          <w:bCs/>
          <w:sz w:val="32"/>
          <w:szCs w:val="32"/>
        </w:rPr>
        <w:t>申报企业信息</w:t>
      </w:r>
    </w:p>
    <w:tbl>
      <w:tblPr>
        <w:tblStyle w:val="10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3"/>
        <w:gridCol w:w="1046"/>
        <w:gridCol w:w="796"/>
        <w:gridCol w:w="1723"/>
        <w:gridCol w:w="115"/>
        <w:gridCol w:w="180"/>
        <w:gridCol w:w="57"/>
        <w:gridCol w:w="541"/>
        <w:gridCol w:w="1092"/>
        <w:gridCol w:w="564"/>
        <w:gridCol w:w="20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000" w:type="pct"/>
            <w:gridSpan w:val="11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2"/>
                <w:szCs w:val="22"/>
              </w:rPr>
              <w:t>（一）申报企业基本信息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35" w:type="pct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</w:rPr>
              <w:t>企业名称</w:t>
            </w:r>
          </w:p>
        </w:tc>
        <w:tc>
          <w:tcPr>
            <w:tcW w:w="3965" w:type="pct"/>
            <w:gridSpan w:val="9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35" w:type="pct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</w:rPr>
              <w:t>统一社会</w:t>
            </w:r>
          </w:p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</w:rPr>
              <w:t>信用代码</w:t>
            </w:r>
          </w:p>
        </w:tc>
        <w:tc>
          <w:tcPr>
            <w:tcW w:w="1598" w:type="pct"/>
            <w:gridSpan w:val="5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</w:p>
        </w:tc>
        <w:tc>
          <w:tcPr>
            <w:tcW w:w="1223" w:type="pct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</w:rPr>
              <w:t>成立时间</w:t>
            </w:r>
          </w:p>
        </w:tc>
        <w:tc>
          <w:tcPr>
            <w:tcW w:w="1144" w:type="pct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35" w:type="pct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</w:rPr>
              <w:t>企业性质</w:t>
            </w:r>
          </w:p>
        </w:tc>
        <w:tc>
          <w:tcPr>
            <w:tcW w:w="3965" w:type="pct"/>
            <w:gridSpan w:val="9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</w:rPr>
              <w:t>□中央企业     □地方国企     □民营     □三资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35" w:type="pct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</w:rPr>
              <w:t>企业类型</w:t>
            </w: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vertAlign w:val="superscript"/>
              </w:rPr>
              <w:footnoteReference w:id="0"/>
            </w:r>
          </w:p>
        </w:tc>
        <w:tc>
          <w:tcPr>
            <w:tcW w:w="3965" w:type="pct"/>
            <w:gridSpan w:val="9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</w:rPr>
              <w:t>□大型企业   □中型企业   □小型企业   □微型企业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35" w:type="pct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</w:rPr>
              <w:t>所属行业大类</w:t>
            </w: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vertAlign w:val="superscript"/>
              </w:rPr>
              <w:footnoteReference w:id="1"/>
            </w:r>
          </w:p>
        </w:tc>
        <w:tc>
          <w:tcPr>
            <w:tcW w:w="1402" w:type="pct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</w:rPr>
              <w:t>（行业大类代码+名称）</w:t>
            </w:r>
          </w:p>
        </w:tc>
        <w:tc>
          <w:tcPr>
            <w:tcW w:w="1105" w:type="pct"/>
            <w:gridSpan w:val="5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</w:rPr>
              <w:t>所属行业中类</w:t>
            </w:r>
          </w:p>
        </w:tc>
        <w:tc>
          <w:tcPr>
            <w:tcW w:w="1458" w:type="pct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</w:rPr>
              <w:t>（行业中类代码+名称）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35" w:type="pct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</w:rPr>
              <w:t>单位地址</w:t>
            </w:r>
          </w:p>
        </w:tc>
        <w:tc>
          <w:tcPr>
            <w:tcW w:w="3965" w:type="pct"/>
            <w:gridSpan w:val="9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35" w:type="pct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</w:rPr>
              <w:t>法人代表/负责人</w:t>
            </w:r>
          </w:p>
        </w:tc>
        <w:tc>
          <w:tcPr>
            <w:tcW w:w="443" w:type="pct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</w:rPr>
              <w:t>姓名</w:t>
            </w:r>
          </w:p>
        </w:tc>
        <w:tc>
          <w:tcPr>
            <w:tcW w:w="1023" w:type="pct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</w:p>
        </w:tc>
        <w:tc>
          <w:tcPr>
            <w:tcW w:w="433" w:type="pct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</w:rPr>
              <w:t>电话</w:t>
            </w:r>
          </w:p>
        </w:tc>
        <w:tc>
          <w:tcPr>
            <w:tcW w:w="2065" w:type="pct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35" w:type="pct"/>
            <w:gridSpan w:val="2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</w:rPr>
              <w:t>联系人</w:t>
            </w:r>
          </w:p>
        </w:tc>
        <w:tc>
          <w:tcPr>
            <w:tcW w:w="443" w:type="pct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</w:rPr>
              <w:t>姓名</w:t>
            </w:r>
          </w:p>
        </w:tc>
        <w:tc>
          <w:tcPr>
            <w:tcW w:w="1023" w:type="pct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</w:p>
        </w:tc>
        <w:tc>
          <w:tcPr>
            <w:tcW w:w="433" w:type="pct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</w:rPr>
              <w:t>电话</w:t>
            </w:r>
          </w:p>
        </w:tc>
        <w:tc>
          <w:tcPr>
            <w:tcW w:w="2065" w:type="pct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35" w:type="pct"/>
            <w:gridSpan w:val="2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</w:p>
        </w:tc>
        <w:tc>
          <w:tcPr>
            <w:tcW w:w="443" w:type="pct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</w:rPr>
              <w:t>职务</w:t>
            </w:r>
          </w:p>
        </w:tc>
        <w:tc>
          <w:tcPr>
            <w:tcW w:w="1023" w:type="pct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</w:p>
        </w:tc>
        <w:tc>
          <w:tcPr>
            <w:tcW w:w="433" w:type="pct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</w:rPr>
              <w:t>手机</w:t>
            </w:r>
          </w:p>
        </w:tc>
        <w:tc>
          <w:tcPr>
            <w:tcW w:w="2065" w:type="pct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35" w:type="pct"/>
            <w:gridSpan w:val="2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</w:p>
        </w:tc>
        <w:tc>
          <w:tcPr>
            <w:tcW w:w="443" w:type="pct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</w:rPr>
              <w:t>传真</w:t>
            </w:r>
          </w:p>
        </w:tc>
        <w:tc>
          <w:tcPr>
            <w:tcW w:w="1023" w:type="pct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</w:p>
        </w:tc>
        <w:tc>
          <w:tcPr>
            <w:tcW w:w="433" w:type="pct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</w:rPr>
              <w:t>邮箱</w:t>
            </w:r>
          </w:p>
        </w:tc>
        <w:tc>
          <w:tcPr>
            <w:tcW w:w="2065" w:type="pct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78" w:type="pct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</w:rPr>
              <w:t>信用等级</w:t>
            </w:r>
          </w:p>
        </w:tc>
        <w:tc>
          <w:tcPr>
            <w:tcW w:w="3522" w:type="pct"/>
            <w:gridSpan w:val="8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78" w:type="pct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</w:rPr>
              <w:t>近三年发展情况</w:t>
            </w:r>
          </w:p>
        </w:tc>
        <w:tc>
          <w:tcPr>
            <w:tcW w:w="1123" w:type="pct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</w:rPr>
              <w:t>2020年</w:t>
            </w:r>
          </w:p>
        </w:tc>
        <w:tc>
          <w:tcPr>
            <w:tcW w:w="1254" w:type="pct"/>
            <w:gridSpan w:val="4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</w:rPr>
              <w:t>2021年</w:t>
            </w:r>
          </w:p>
        </w:tc>
        <w:tc>
          <w:tcPr>
            <w:tcW w:w="1144" w:type="pct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</w:rPr>
              <w:t>2022年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78" w:type="pct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</w:rPr>
              <w:t>资产总额（万元）</w:t>
            </w:r>
          </w:p>
        </w:tc>
        <w:tc>
          <w:tcPr>
            <w:tcW w:w="1123" w:type="pct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</w:p>
        </w:tc>
        <w:tc>
          <w:tcPr>
            <w:tcW w:w="1254" w:type="pct"/>
            <w:gridSpan w:val="4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</w:p>
        </w:tc>
        <w:tc>
          <w:tcPr>
            <w:tcW w:w="1144" w:type="pct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78" w:type="pct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</w:rPr>
              <w:t>负债率（%）</w:t>
            </w:r>
          </w:p>
        </w:tc>
        <w:tc>
          <w:tcPr>
            <w:tcW w:w="1123" w:type="pct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</w:p>
        </w:tc>
        <w:tc>
          <w:tcPr>
            <w:tcW w:w="1254" w:type="pct"/>
            <w:gridSpan w:val="4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</w:p>
        </w:tc>
        <w:tc>
          <w:tcPr>
            <w:tcW w:w="1144" w:type="pct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78" w:type="pct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</w:rPr>
              <w:t>主营业务收入（万元）</w:t>
            </w:r>
          </w:p>
        </w:tc>
        <w:tc>
          <w:tcPr>
            <w:tcW w:w="1123" w:type="pct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</w:p>
        </w:tc>
        <w:tc>
          <w:tcPr>
            <w:tcW w:w="1254" w:type="pct"/>
            <w:gridSpan w:val="4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</w:p>
        </w:tc>
        <w:tc>
          <w:tcPr>
            <w:tcW w:w="1144" w:type="pct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78" w:type="pct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</w:rPr>
              <w:t>利润率（%）</w:t>
            </w:r>
          </w:p>
        </w:tc>
        <w:tc>
          <w:tcPr>
            <w:tcW w:w="1123" w:type="pct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</w:p>
        </w:tc>
        <w:tc>
          <w:tcPr>
            <w:tcW w:w="1254" w:type="pct"/>
            <w:gridSpan w:val="4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</w:p>
        </w:tc>
        <w:tc>
          <w:tcPr>
            <w:tcW w:w="1144" w:type="pct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78" w:type="pct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</w:rPr>
              <w:t>企业2020年以来是否发生过重大安全生产事故、</w:t>
            </w:r>
          </w:p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</w:rPr>
              <w:t>重大环境事故</w:t>
            </w: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vertAlign w:val="superscript"/>
              </w:rPr>
              <w:footnoteReference w:id="2"/>
            </w:r>
          </w:p>
        </w:tc>
        <w:tc>
          <w:tcPr>
            <w:tcW w:w="3522" w:type="pct"/>
            <w:gridSpan w:val="8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</w:rPr>
              <w:t>□是（事故名称：      ）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4" w:hRule="atLeast"/>
          <w:jc w:val="center"/>
        </w:trPr>
        <w:tc>
          <w:tcPr>
            <w:tcW w:w="453" w:type="pct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</w:rPr>
              <w:t>企</w:t>
            </w:r>
          </w:p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</w:rPr>
              <w:t>业</w:t>
            </w:r>
          </w:p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</w:rPr>
              <w:t>简</w:t>
            </w:r>
          </w:p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</w:rPr>
              <w:t>介</w:t>
            </w:r>
          </w:p>
        </w:tc>
        <w:tc>
          <w:tcPr>
            <w:tcW w:w="4547" w:type="pct"/>
            <w:gridSpan w:val="10"/>
            <w:tcMar>
              <w:left w:w="57" w:type="dxa"/>
              <w:right w:w="57" w:type="dxa"/>
            </w:tcMar>
          </w:tcPr>
          <w:p>
            <w:pPr>
              <w:snapToGrid w:val="0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</w:rPr>
              <w:t>（发展历程、主营业务、市场销售等方面基本情况，不超过500字）</w:t>
            </w:r>
          </w:p>
          <w:p>
            <w:pPr>
              <w:snapToGrid w:val="0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</w:p>
          <w:p>
            <w:pPr>
              <w:snapToGrid w:val="0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</w:p>
          <w:p>
            <w:pPr>
              <w:snapToGrid w:val="0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</w:p>
          <w:p>
            <w:pPr>
              <w:snapToGrid w:val="0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</w:p>
          <w:p>
            <w:pPr>
              <w:snapToGrid w:val="0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  <w:p>
            <w:pPr>
              <w:snapToGrid w:val="0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5000" w:type="pct"/>
            <w:gridSpan w:val="11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2"/>
                <w:szCs w:val="22"/>
              </w:rPr>
              <w:t>（二）智能制造场景基本信息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2" w:hRule="atLeast"/>
          <w:jc w:val="center"/>
        </w:trPr>
        <w:tc>
          <w:tcPr>
            <w:tcW w:w="1035" w:type="pct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</w:rPr>
              <w:t>场景具体名称</w:t>
            </w:r>
          </w:p>
        </w:tc>
        <w:tc>
          <w:tcPr>
            <w:tcW w:w="3965" w:type="pct"/>
            <w:gridSpan w:val="9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</w:rPr>
              <w:t>（多个场景，分开填写）</w:t>
            </w:r>
          </w:p>
          <w:p>
            <w:pPr>
              <w:snapToGrid w:val="0"/>
              <w:jc w:val="center"/>
              <w:rPr>
                <w:rFonts w:hint="default" w:ascii="Times New Roman" w:hAnsi="Times New Roman" w:eastAsia="楷体" w:cs="Times New Roman"/>
                <w:bCs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</w:rPr>
              <w:t>示例：1.工艺设计-</w:t>
            </w:r>
            <w:r>
              <w:rPr>
                <w:rFonts w:hint="default" w:ascii="Times New Roman" w:hAnsi="Times New Roman" w:eastAsia="楷体" w:cs="Times New Roman"/>
                <w:bCs/>
                <w:sz w:val="22"/>
                <w:szCs w:val="22"/>
              </w:rPr>
              <w:t>6.工艺数字化设计；</w:t>
            </w:r>
          </w:p>
          <w:p>
            <w:pPr>
              <w:snapToGrid w:val="0"/>
              <w:jc w:val="center"/>
              <w:rPr>
                <w:rFonts w:hint="default" w:ascii="Times New Roman" w:hAnsi="Times New Roman" w:eastAsia="楷体" w:cs="Times New Roman"/>
                <w:bCs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</w:rPr>
              <w:t xml:space="preserve">     2.生产作业-</w:t>
            </w:r>
            <w:r>
              <w:rPr>
                <w:rFonts w:hint="default" w:ascii="Times New Roman" w:hAnsi="Times New Roman" w:eastAsia="楷体" w:cs="Times New Roman"/>
                <w:bCs/>
                <w:sz w:val="22"/>
                <w:szCs w:val="22"/>
              </w:rPr>
              <w:t>12.先进过程控制；</w:t>
            </w:r>
          </w:p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楷体" w:cs="Times New Roman"/>
                <w:bCs/>
                <w:sz w:val="22"/>
                <w:szCs w:val="22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6" w:hRule="atLeast"/>
          <w:jc w:val="center"/>
        </w:trPr>
        <w:tc>
          <w:tcPr>
            <w:tcW w:w="1035" w:type="pct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</w:rPr>
              <w:t>场景建设地址</w:t>
            </w:r>
          </w:p>
        </w:tc>
        <w:tc>
          <w:tcPr>
            <w:tcW w:w="3965" w:type="pct"/>
            <w:gridSpan w:val="9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</w:rPr>
              <w:t>（按不同场景，分开填写）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9" w:hRule="atLeast"/>
          <w:jc w:val="center"/>
        </w:trPr>
        <w:tc>
          <w:tcPr>
            <w:tcW w:w="1035" w:type="pct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</w:rPr>
              <w:t>场景系统</w:t>
            </w:r>
          </w:p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</w:rPr>
              <w:t>解决方案商</w:t>
            </w:r>
          </w:p>
        </w:tc>
        <w:tc>
          <w:tcPr>
            <w:tcW w:w="3965" w:type="pct"/>
            <w:gridSpan w:val="9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</w:rPr>
              <w:t>（按不同场景，分开填写）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8" w:hRule="atLeast"/>
          <w:jc w:val="center"/>
        </w:trPr>
        <w:tc>
          <w:tcPr>
            <w:tcW w:w="1035" w:type="pct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</w:rPr>
              <w:t>起止日期</w:t>
            </w:r>
          </w:p>
        </w:tc>
        <w:tc>
          <w:tcPr>
            <w:tcW w:w="3965" w:type="pct"/>
            <w:gridSpan w:val="9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</w:rPr>
              <w:t>（按不同场景，分开填写）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6" w:hRule="atLeast"/>
          <w:jc w:val="center"/>
        </w:trPr>
        <w:tc>
          <w:tcPr>
            <w:tcW w:w="1035" w:type="pct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</w:rPr>
              <w:t>场景投资</w:t>
            </w:r>
          </w:p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</w:rPr>
              <w:t>（万元）</w:t>
            </w:r>
          </w:p>
        </w:tc>
        <w:tc>
          <w:tcPr>
            <w:tcW w:w="3965" w:type="pct"/>
            <w:gridSpan w:val="9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</w:rPr>
              <w:t>（按不同场景，分开填写）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5" w:hRule="atLeast"/>
          <w:jc w:val="center"/>
        </w:trPr>
        <w:tc>
          <w:tcPr>
            <w:tcW w:w="1035" w:type="pct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</w:rPr>
              <w:t>真实性承诺</w:t>
            </w:r>
          </w:p>
        </w:tc>
        <w:tc>
          <w:tcPr>
            <w:tcW w:w="3965" w:type="pct"/>
            <w:gridSpan w:val="9"/>
            <w:tcMar>
              <w:left w:w="57" w:type="dxa"/>
              <w:right w:w="57" w:type="dxa"/>
            </w:tcMar>
          </w:tcPr>
          <w:p>
            <w:pPr>
              <w:snapToGrid w:val="0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</w:p>
          <w:p>
            <w:pPr>
              <w:snapToGrid w:val="0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</w:p>
          <w:p>
            <w:pPr>
              <w:snapToGrid w:val="0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我单位申报的所有材料，均真实、完整，如有不实，愿承担相应的责任。申报单位是中央企业子企业的，已经本单位所属中央企业集团同意。</w:t>
            </w:r>
          </w:p>
          <w:p>
            <w:pPr>
              <w:snapToGrid w:val="0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</w:p>
          <w:p>
            <w:pPr>
              <w:snapToGrid w:val="0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</w:p>
          <w:p>
            <w:pPr>
              <w:snapToGrid w:val="0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</w:p>
          <w:p>
            <w:pPr>
              <w:snapToGrid w:val="0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 xml:space="preserve">  法定代表人签章：              </w:t>
            </w:r>
          </w:p>
          <w:p>
            <w:pPr>
              <w:snapToGrid w:val="0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 xml:space="preserve">  公          章：              </w:t>
            </w:r>
          </w:p>
          <w:p>
            <w:pPr>
              <w:snapToGrid w:val="0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</w:rPr>
              <w:t xml:space="preserve">                      年    月    日               </w:t>
            </w:r>
          </w:p>
        </w:tc>
      </w:tr>
    </w:tbl>
    <w:p>
      <w:pPr>
        <w:widowControl/>
        <w:jc w:val="left"/>
        <w:rPr>
          <w:rFonts w:hint="default" w:ascii="Times New Roman" w:hAnsi="Times New Roman" w:eastAsia="方正小标宋简体" w:cs="Times New Roman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小标宋简体" w:cs="Times New Roman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br w:type="page"/>
      </w:r>
    </w:p>
    <w:p>
      <w:pPr>
        <w:outlineLvl w:val="0"/>
        <w:rPr>
          <w:rFonts w:hint="eastAsia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color w:val="070707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color w:val="070707"/>
          <w:sz w:val="32"/>
          <w:szCs w:val="32"/>
          <w:lang w:val="en-US" w:eastAsia="zh-CN"/>
        </w:rPr>
        <w:t>3</w:t>
      </w:r>
    </w:p>
    <w:p>
      <w:pPr>
        <w:jc w:val="left"/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eastAsia="zh-CN"/>
        </w:rPr>
        <w:t>典型场景案例编写提纲</w:t>
      </w:r>
    </w:p>
    <w:p>
      <w:pPr>
        <w:ind w:firstLine="640" w:firstLineChars="200"/>
        <w:jc w:val="left"/>
        <w:rPr>
          <w:rFonts w:hint="eastAsia" w:ascii="Times New Roman" w:hAnsi="Times New Roman" w:eastAsia="黑体" w:cs="Times New Roman"/>
          <w:bCs/>
          <w:sz w:val="32"/>
          <w:szCs w:val="32"/>
          <w:lang w:eastAsia="zh-CN"/>
        </w:rPr>
      </w:pPr>
    </w:p>
    <w:p>
      <w:pPr>
        <w:ind w:firstLine="640" w:firstLineChars="200"/>
        <w:jc w:val="left"/>
        <w:rPr>
          <w:rFonts w:hint="default" w:ascii="Times New Roman" w:hAnsi="Times New Roman" w:eastAsia="黑体" w:cs="Times New Roman"/>
          <w:bCs/>
          <w:sz w:val="32"/>
          <w:szCs w:val="32"/>
        </w:rPr>
      </w:pPr>
      <w:r>
        <w:rPr>
          <w:rFonts w:hint="eastAsia" w:ascii="Times New Roman" w:hAnsi="Times New Roman" w:eastAsia="黑体" w:cs="Times New Roman"/>
          <w:bCs/>
          <w:sz w:val="32"/>
          <w:szCs w:val="32"/>
          <w:lang w:eastAsia="zh-CN"/>
        </w:rPr>
        <w:t>一</w:t>
      </w:r>
      <w:r>
        <w:rPr>
          <w:rFonts w:hint="default" w:ascii="Times New Roman" w:hAnsi="Times New Roman" w:eastAsia="黑体" w:cs="Times New Roman"/>
          <w:bCs/>
          <w:sz w:val="32"/>
          <w:szCs w:val="32"/>
        </w:rPr>
        <w:t>、场景建设方案及情况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/>
          <w:color w:val="070707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（此部分参考《智能制造典型场景参考指引》（见附件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）进行编写。申报主体对申报的场景进行选择，</w:t>
      </w:r>
      <w:r>
        <w:rPr>
          <w:rFonts w:hint="default" w:ascii="Times New Roman" w:hAnsi="Times New Roman" w:eastAsia="仿宋_GB2312" w:cs="Times New Roman"/>
          <w:b/>
          <w:color w:val="070707"/>
          <w:sz w:val="32"/>
          <w:szCs w:val="32"/>
        </w:rPr>
        <w:t>也可以根据实际情况填写新的环节或场景，且填写的场景应建设成效突出、具有行业推广价值</w:t>
      </w:r>
      <w:r>
        <w:rPr>
          <w:rFonts w:hint="default" w:ascii="Times New Roman" w:hAnsi="Times New Roman" w:eastAsia="仿宋_GB2312" w:cs="Times New Roman"/>
          <w:b/>
          <w:color w:val="070707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Cs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  <w:lang w:eastAsia="zh-CN"/>
        </w:rPr>
        <w:t>场景名称（与基本信息表中场景具体名称保持一致）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Cs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  <w:lang w:eastAsia="zh-CN"/>
        </w:rPr>
        <w:t>具体场景：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结合要素条件进行描述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300字以内，可配图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Cs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  <w:lang w:eastAsia="zh-CN"/>
        </w:rPr>
        <w:t>解决的痛点问题描述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Cs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  <w:lang w:eastAsia="zh-CN"/>
        </w:rPr>
        <w:t>采用的技术方案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（包括供应商）（300字以内，可配图）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Cs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  <w:lang w:eastAsia="zh-CN"/>
        </w:rPr>
        <w:t>具体场景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采用的关键装备、软件、工艺、技术情况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lang w:eastAsia="zh-CN"/>
        </w:rPr>
        <w:t>，（可配图）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Cs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  <w:lang w:eastAsia="zh-CN"/>
        </w:rPr>
        <w:t>保障要素（如人、管理机制、组织标准、培训等，200字以内）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Cs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  <w:lang w:eastAsia="zh-CN"/>
        </w:rPr>
        <w:t>已实施成效（最好通过量化指标描述，300字以内）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Cs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  <w:lang w:eastAsia="zh-CN"/>
        </w:rPr>
        <w:t>其他（如对于其他车间、工厂的带动效应等，300字以内）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Cs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  <w:lang w:eastAsia="zh-CN"/>
        </w:rPr>
        <w:t>经济性和可推广性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bCs/>
          <w:sz w:val="32"/>
          <w:szCs w:val="32"/>
        </w:rPr>
      </w:pPr>
      <w:r>
        <w:rPr>
          <w:rFonts w:hint="eastAsia" w:ascii="Times New Roman" w:hAnsi="Times New Roman" w:eastAsia="黑体" w:cs="Times New Roman"/>
          <w:bCs/>
          <w:sz w:val="32"/>
          <w:szCs w:val="32"/>
          <w:lang w:eastAsia="zh-CN"/>
        </w:rPr>
        <w:t>二</w:t>
      </w:r>
      <w:r>
        <w:rPr>
          <w:rFonts w:hint="default" w:ascii="Times New Roman" w:hAnsi="Times New Roman" w:eastAsia="黑体" w:cs="Times New Roman"/>
          <w:bCs/>
          <w:sz w:val="32"/>
          <w:szCs w:val="32"/>
        </w:rPr>
        <w:t>、下一步提升和推广计划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（一）提升计划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（二）推广应用计划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Cs/>
          <w:sz w:val="32"/>
          <w:szCs w:val="32"/>
          <w:lang w:eastAsia="zh-CN"/>
        </w:rPr>
      </w:pPr>
      <w:r>
        <w:rPr>
          <w:rFonts w:hint="eastAsia" w:ascii="Times New Roman" w:hAnsi="Times New Roman" w:eastAsia="黑体" w:cs="Times New Roman"/>
          <w:bCs/>
          <w:sz w:val="32"/>
          <w:szCs w:val="32"/>
          <w:lang w:eastAsia="zh-CN"/>
        </w:rPr>
        <w:t>三</w:t>
      </w:r>
      <w:r>
        <w:rPr>
          <w:rFonts w:hint="default" w:ascii="Times New Roman" w:hAnsi="Times New Roman" w:eastAsia="黑体" w:cs="Times New Roman"/>
          <w:bCs/>
          <w:sz w:val="32"/>
          <w:szCs w:val="32"/>
        </w:rPr>
        <w:t>、相关附件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lang w:eastAsia="zh-CN"/>
        </w:rPr>
        <w:t>（包含且不限于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企业营业执照复印件、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  <w:shd w:val="clear" w:color="auto" w:fill="FFFFFF"/>
        </w:rPr>
        <w:t>智能制造能力成熟度自评估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  <w:shd w:val="clear" w:color="auto" w:fill="FFFFFF"/>
          <w:lang w:eastAsia="zh-CN"/>
        </w:rPr>
        <w:t>结果报告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bCs/>
          <w:sz w:val="32"/>
          <w:szCs w:val="32"/>
          <w:lang w:eastAsia="zh-CN"/>
        </w:rPr>
      </w:pPr>
    </w:p>
    <w:p>
      <w:pPr>
        <w:outlineLvl w:val="0"/>
        <w:rPr>
          <w:rFonts w:hint="default" w:ascii="Times New Roman" w:hAnsi="Times New Roman" w:eastAsia="黑体" w:cs="Times New Roman"/>
          <w:color w:val="070707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070707"/>
          <w:sz w:val="32"/>
          <w:szCs w:val="32"/>
          <w:lang w:val="en-US" w:eastAsia="zh-CN"/>
        </w:rPr>
        <w:t>附件4</w:t>
      </w:r>
    </w:p>
    <w:tbl>
      <w:tblPr>
        <w:tblStyle w:val="10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1"/>
        <w:gridCol w:w="5787"/>
        <w:gridCol w:w="249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default" w:ascii="Times New Roman" w:hAnsi="Times New Roman" w:eastAsia="方正小标宋简体" w:cs="Times New Roman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申报单位形式审查表</w:t>
            </w:r>
            <w:r>
              <w:rPr>
                <w:rFonts w:hint="default" w:ascii="Times New Roman" w:hAnsi="Times New Roman" w:eastAsia="方正小标宋简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（各区填报）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小标宋简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小标宋简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企业名称：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000" w:type="pct"/>
            <w:gridSpan w:val="3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小标宋简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小标宋简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企业所在区（开发区）经信部门（盖章）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455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形式审查主要内容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3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申报单位在中华人民共和国境内注册，具有独立法人资格（汽车等有行业特殊情况，允许法人的分支机构申报）</w:t>
            </w:r>
          </w:p>
        </w:tc>
        <w:tc>
          <w:tcPr>
            <w:tcW w:w="1372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□是……□否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3185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申报单位近三年经营情况良好</w:t>
            </w:r>
          </w:p>
        </w:tc>
        <w:tc>
          <w:tcPr>
            <w:tcW w:w="1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□是……□否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3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申报单位近三年无失信情况</w:t>
            </w:r>
          </w:p>
        </w:tc>
        <w:tc>
          <w:tcPr>
            <w:tcW w:w="1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□是……□否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3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申报单位近三年无重大安全事故</w:t>
            </w:r>
          </w:p>
        </w:tc>
        <w:tc>
          <w:tcPr>
            <w:tcW w:w="1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□是……□否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3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申报单位近三年无重大环保事故</w:t>
            </w:r>
          </w:p>
        </w:tc>
        <w:tc>
          <w:tcPr>
            <w:tcW w:w="1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□是……□否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3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智能制造成熟度二级以上或满足相关行业智能制造指导性文件</w:t>
            </w:r>
          </w:p>
        </w:tc>
        <w:tc>
          <w:tcPr>
            <w:tcW w:w="1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□是……□否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3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真实性声明、推荐单位加盖有效公章</w:t>
            </w:r>
          </w:p>
        </w:tc>
        <w:tc>
          <w:tcPr>
            <w:tcW w:w="1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□是……□否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3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申报内容是否涉密</w:t>
            </w:r>
          </w:p>
        </w:tc>
        <w:tc>
          <w:tcPr>
            <w:tcW w:w="1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□是……□否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3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申报资料应完整，申报书填写规范</w:t>
            </w:r>
          </w:p>
        </w:tc>
        <w:tc>
          <w:tcPr>
            <w:tcW w:w="1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□是……□否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3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符合申报通知中的其他要求</w:t>
            </w:r>
          </w:p>
        </w:tc>
        <w:tc>
          <w:tcPr>
            <w:tcW w:w="1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□是……□否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bCs/>
          <w:sz w:val="32"/>
          <w:szCs w:val="32"/>
          <w:lang w:eastAsia="zh-CN"/>
        </w:rPr>
        <w:sectPr>
          <w:pgSz w:w="11906" w:h="16838"/>
          <w:pgMar w:top="1440" w:right="1519" w:bottom="1440" w:left="1519" w:header="851" w:footer="992" w:gutter="0"/>
          <w:cols w:space="720" w:num="1"/>
          <w:docGrid w:type="lines" w:linePitch="312" w:charSpace="0"/>
        </w:sectPr>
      </w:pPr>
    </w:p>
    <w:p>
      <w:pPr>
        <w:rPr>
          <w:rFonts w:hint="eastAsia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5</w:t>
      </w:r>
    </w:p>
    <w:p>
      <w:pPr>
        <w:jc w:val="center"/>
        <w:rPr>
          <w:rFonts w:hint="default" w:ascii="Times New Roman" w:hAnsi="Times New Roman" w:eastAsia="方正小标宋简体" w:cs="Times New Roman"/>
          <w:bCs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Cs/>
          <w:sz w:val="44"/>
          <w:szCs w:val="44"/>
        </w:rPr>
        <w:t>2023年湖北省智能制造试点示范企业推荐汇总表</w:t>
      </w:r>
    </w:p>
    <w:p>
      <w:pPr>
        <w:rPr>
          <w:rFonts w:hint="default" w:ascii="Times New Roman" w:hAnsi="Times New Roman" w:cs="Times New Roman"/>
          <w:szCs w:val="20"/>
        </w:rPr>
      </w:pPr>
      <w:r>
        <w:rPr>
          <w:rFonts w:hint="default" w:ascii="Times New Roman" w:hAnsi="Times New Roman" w:eastAsia="仿宋_GB2312" w:cs="Times New Roman"/>
          <w:b/>
          <w:bCs/>
          <w:sz w:val="24"/>
        </w:rPr>
        <w:t>推荐单位（盖章）：</w:t>
      </w:r>
    </w:p>
    <w:tbl>
      <w:tblPr>
        <w:tblStyle w:val="10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9"/>
        <w:gridCol w:w="3195"/>
        <w:gridCol w:w="5640"/>
        <w:gridCol w:w="1422"/>
        <w:gridCol w:w="20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4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序号</w:t>
            </w:r>
          </w:p>
        </w:tc>
        <w:tc>
          <w:tcPr>
            <w:tcW w:w="11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申报企业名称</w:t>
            </w:r>
          </w:p>
        </w:tc>
        <w:tc>
          <w:tcPr>
            <w:tcW w:w="20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申报智能制造场景（罗列）</w:t>
            </w:r>
          </w:p>
        </w:tc>
        <w:tc>
          <w:tcPr>
            <w:tcW w:w="5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联系人</w:t>
            </w:r>
          </w:p>
        </w:tc>
        <w:tc>
          <w:tcPr>
            <w:tcW w:w="7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联系方式</w:t>
            </w:r>
          </w:p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（手机号）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4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</w:t>
            </w:r>
          </w:p>
        </w:tc>
        <w:tc>
          <w:tcPr>
            <w:tcW w:w="11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0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楷体" w:cs="Times New Roman"/>
                <w:bCs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</w:rPr>
              <w:t>示例：1.工艺设计-</w:t>
            </w:r>
            <w:r>
              <w:rPr>
                <w:rFonts w:hint="default" w:ascii="Times New Roman" w:hAnsi="Times New Roman" w:eastAsia="楷体" w:cs="Times New Roman"/>
                <w:bCs/>
                <w:sz w:val="22"/>
                <w:szCs w:val="22"/>
              </w:rPr>
              <w:t>6.工艺数字化设计；</w:t>
            </w:r>
          </w:p>
          <w:p>
            <w:pPr>
              <w:snapToGrid w:val="0"/>
              <w:jc w:val="center"/>
              <w:rPr>
                <w:rFonts w:hint="default" w:ascii="Times New Roman" w:hAnsi="Times New Roman" w:eastAsia="楷体" w:cs="Times New Roman"/>
                <w:bCs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</w:rPr>
              <w:t xml:space="preserve">     2.生产作业-</w:t>
            </w:r>
            <w:r>
              <w:rPr>
                <w:rFonts w:hint="default" w:ascii="Times New Roman" w:hAnsi="Times New Roman" w:eastAsia="楷体" w:cs="Times New Roman"/>
                <w:bCs/>
                <w:sz w:val="22"/>
                <w:szCs w:val="22"/>
              </w:rPr>
              <w:t>12.先进过程控制；</w:t>
            </w:r>
          </w:p>
          <w:p>
            <w:pPr>
              <w:snapToGrid w:val="0"/>
              <w:jc w:val="center"/>
              <w:rPr>
                <w:rFonts w:hint="default" w:ascii="Times New Roman" w:hAnsi="Times New Roman" w:eastAsia="楷体" w:cs="Times New Roman"/>
                <w:bCs/>
                <w:sz w:val="22"/>
                <w:szCs w:val="22"/>
              </w:rPr>
            </w:pPr>
            <w:r>
              <w:rPr>
                <w:rFonts w:hint="default" w:ascii="Times New Roman" w:hAnsi="Times New Roman" w:eastAsia="楷体" w:cs="Times New Roman"/>
                <w:bCs/>
                <w:sz w:val="22"/>
                <w:szCs w:val="22"/>
              </w:rPr>
              <w:t xml:space="preserve">            3.设备管理-20.设备故障诊断与预测；</w:t>
            </w:r>
          </w:p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楷体" w:cs="Times New Roman"/>
                <w:bCs/>
                <w:sz w:val="22"/>
                <w:szCs w:val="22"/>
              </w:rPr>
              <w:t>……</w:t>
            </w:r>
          </w:p>
        </w:tc>
        <w:tc>
          <w:tcPr>
            <w:tcW w:w="5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7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4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2</w:t>
            </w:r>
          </w:p>
        </w:tc>
        <w:tc>
          <w:tcPr>
            <w:tcW w:w="11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0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5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7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4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3</w:t>
            </w:r>
          </w:p>
        </w:tc>
        <w:tc>
          <w:tcPr>
            <w:tcW w:w="11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0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5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7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4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4</w:t>
            </w:r>
          </w:p>
        </w:tc>
        <w:tc>
          <w:tcPr>
            <w:tcW w:w="11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0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5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7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4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5</w:t>
            </w:r>
          </w:p>
        </w:tc>
        <w:tc>
          <w:tcPr>
            <w:tcW w:w="11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0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5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7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4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6</w:t>
            </w:r>
          </w:p>
        </w:tc>
        <w:tc>
          <w:tcPr>
            <w:tcW w:w="11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0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5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7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4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……</w:t>
            </w:r>
          </w:p>
        </w:tc>
        <w:tc>
          <w:tcPr>
            <w:tcW w:w="11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0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5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7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</w:tbl>
    <w:p>
      <w:pPr>
        <w:rPr>
          <w:rFonts w:hint="default" w:ascii="Times New Roman" w:hAnsi="Times New Roman" w:eastAsia="仿宋_GB2312" w:cs="Times New Roman"/>
          <w:sz w:val="24"/>
        </w:rPr>
        <w:sectPr>
          <w:footerReference r:id="rId4" w:type="default"/>
          <w:footerReference r:id="rId5" w:type="even"/>
          <w:pgSz w:w="16838" w:h="11906" w:orient="landscape"/>
          <w:pgMar w:top="1588" w:right="1814" w:bottom="1588" w:left="1701" w:header="851" w:footer="1134" w:gutter="0"/>
          <w:cols w:space="720" w:num="1"/>
          <w:docGrid w:type="lines" w:linePitch="286" w:charSpace="0"/>
        </w:sectPr>
      </w:pPr>
      <w:r>
        <w:rPr>
          <w:rFonts w:hint="default" w:ascii="Times New Roman" w:hAnsi="Times New Roman" w:eastAsia="仿宋_GB2312" w:cs="Times New Roman"/>
          <w:sz w:val="24"/>
        </w:rPr>
        <w:t>注：各地推荐</w:t>
      </w:r>
      <w:r>
        <w:rPr>
          <w:rFonts w:hint="default" w:ascii="Times New Roman" w:hAnsi="Times New Roman" w:eastAsia="仿宋_GB2312" w:cs="Times New Roman"/>
          <w:bCs/>
          <w:sz w:val="24"/>
        </w:rPr>
        <w:t>智能制造试点示范企业</w:t>
      </w:r>
      <w:r>
        <w:rPr>
          <w:rFonts w:hint="default" w:ascii="Times New Roman" w:hAnsi="Times New Roman" w:eastAsia="仿宋_GB2312" w:cs="Times New Roman"/>
          <w:sz w:val="24"/>
        </w:rPr>
        <w:t>排名有先后</w:t>
      </w:r>
    </w:p>
    <w:p>
      <w:pPr>
        <w:spacing w:line="580" w:lineRule="exact"/>
        <w:rPr>
          <w:rFonts w:hint="default" w:ascii="Times New Roman" w:hAnsi="Times New Roman" w:eastAsia="仿宋_GB2312" w:cs="Times New Roman"/>
          <w:sz w:val="32"/>
          <w:szCs w:val="32"/>
        </w:rPr>
      </w:pPr>
      <w:bookmarkStart w:id="0" w:name="_GoBack"/>
      <w:bookmarkEnd w:id="0"/>
    </w:p>
    <w:sectPr>
      <w:pgSz w:w="11906" w:h="16838"/>
      <w:pgMar w:top="1418" w:right="1418" w:bottom="1418" w:left="1418" w:header="851" w:footer="1134" w:gutter="0"/>
      <w:cols w:space="720" w:num="1"/>
      <w:docGrid w:type="linesAndChars" w:linePitch="28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Verdana">
    <w:altName w:val="DejaVu Sans"/>
    <w:panose1 w:val="020B0604030504040204"/>
    <w:charset w:val="00"/>
    <w:family w:val="swiss"/>
    <w:pitch w:val="default"/>
    <w:sig w:usb0="00000000" w:usb1="00000000" w:usb2="00000010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altName w:val="方正楷体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anumGothic">
    <w:panose1 w:val="020D0604000000000000"/>
    <w:charset w:val="81"/>
    <w:family w:val="auto"/>
    <w:pitch w:val="default"/>
    <w:sig w:usb0="900002A7" w:usb1="29D7FCFB" w:usb2="00000010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sz w:val="21"/>
        <w:szCs w:val="21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36105520"/>
      <w:docPartObj>
        <w:docPartGallery w:val="autotext"/>
      </w:docPartObj>
    </w:sdtPr>
    <w:sdtEndPr>
      <w:rPr>
        <w:sz w:val="21"/>
        <w:szCs w:val="21"/>
      </w:rPr>
    </w:sdtEndPr>
    <w:sdtContent>
      <w:p>
        <w:pPr>
          <w:pStyle w:val="6"/>
          <w:rPr>
            <w:sz w:val="21"/>
            <w:szCs w:val="21"/>
          </w:rPr>
        </w:pPr>
        <w:r>
          <w:rPr>
            <w:rFonts w:hint="eastAsia"/>
            <w:sz w:val="21"/>
            <w:szCs w:val="21"/>
          </w:rPr>
          <w:t xml:space="preserve">— </w:t>
        </w: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 xml:space="preserve">PAGE   \* MERGEFORMAT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</w:rPr>
          <w:t>2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  <w:r>
          <w:rPr>
            <w:sz w:val="21"/>
            <w:szCs w:val="21"/>
          </w:rPr>
          <w:t xml:space="preserve"> </w:t>
        </w:r>
        <w:r>
          <w:rPr>
            <w:rFonts w:hint="eastAsia"/>
            <w:sz w:val="21"/>
            <w:szCs w:val="21"/>
          </w:rPr>
          <w:t>—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6">
    <w:p>
      <w:r>
        <w:separator/>
      </w:r>
    </w:p>
  </w:footnote>
  <w:footnote w:type="continuationSeparator" w:id="7">
    <w:p>
      <w:r>
        <w:continuationSeparator/>
      </w:r>
    </w:p>
  </w:footnote>
  <w:footnote w:id="0">
    <w:p>
      <w:pPr>
        <w:pStyle w:val="8"/>
        <w:jc w:val="both"/>
      </w:pPr>
      <w:r>
        <w:rPr>
          <w:rStyle w:val="15"/>
          <w:rFonts w:ascii="Times New Roman" w:hAnsi="Times New Roman" w:cs="Times New Roman"/>
        </w:rPr>
        <w:footnoteRef/>
      </w:r>
      <w:r>
        <w:t xml:space="preserve"> </w:t>
      </w:r>
      <w:r>
        <w:rPr>
          <w:rFonts w:hint="eastAsia"/>
        </w:rPr>
        <w:t>根据《统计上大中小微型企业划分办法（</w:t>
      </w:r>
      <w:r>
        <w:t>2017</w:t>
      </w:r>
      <w:r>
        <w:rPr>
          <w:rFonts w:hint="eastAsia"/>
        </w:rPr>
        <w:t>）》《关于印发中小企业划型标准规定的通知》规定，工业企业大、中、小、微企业划分标准如下：从业人员</w:t>
      </w:r>
      <w:r>
        <w:t>1000</w:t>
      </w:r>
      <w:r>
        <w:rPr>
          <w:rFonts w:hint="eastAsia"/>
        </w:rPr>
        <w:t>人及以上，且营业收入</w:t>
      </w:r>
      <w:r>
        <w:t>40000</w:t>
      </w:r>
      <w:r>
        <w:rPr>
          <w:rFonts w:hint="eastAsia"/>
        </w:rPr>
        <w:t>万元及以上的为大型企业；从业人员</w:t>
      </w:r>
      <w:r>
        <w:t>300</w:t>
      </w:r>
      <w:r>
        <w:rPr>
          <w:rFonts w:hint="eastAsia"/>
        </w:rPr>
        <w:t>人及以上</w:t>
      </w:r>
      <w:r>
        <w:t>1000</w:t>
      </w:r>
      <w:r>
        <w:rPr>
          <w:rFonts w:hint="eastAsia"/>
        </w:rPr>
        <w:t>人以下，且营业收入</w:t>
      </w:r>
      <w:r>
        <w:t>2000</w:t>
      </w:r>
      <w:r>
        <w:rPr>
          <w:rFonts w:hint="eastAsia"/>
        </w:rPr>
        <w:t>万元及以上</w:t>
      </w:r>
      <w:r>
        <w:t>40000</w:t>
      </w:r>
      <w:r>
        <w:rPr>
          <w:rFonts w:hint="eastAsia"/>
        </w:rPr>
        <w:t>万元以下的为中型企业；从业人员</w:t>
      </w:r>
      <w:r>
        <w:t>20</w:t>
      </w:r>
      <w:r>
        <w:rPr>
          <w:rFonts w:hint="eastAsia"/>
        </w:rPr>
        <w:t>人及以上</w:t>
      </w:r>
      <w:r>
        <w:t>300</w:t>
      </w:r>
      <w:r>
        <w:rPr>
          <w:rFonts w:hint="eastAsia"/>
        </w:rPr>
        <w:t>人以下，且营业收入</w:t>
      </w:r>
      <w:r>
        <w:t>300</w:t>
      </w:r>
      <w:r>
        <w:rPr>
          <w:rFonts w:hint="eastAsia"/>
        </w:rPr>
        <w:t>万元及以上</w:t>
      </w:r>
      <w:r>
        <w:t>2000</w:t>
      </w:r>
      <w:r>
        <w:rPr>
          <w:rFonts w:hint="eastAsia"/>
        </w:rPr>
        <w:t>万元以下的为小型企业；从业人员</w:t>
      </w:r>
      <w:r>
        <w:t>20</w:t>
      </w:r>
      <w:r>
        <w:rPr>
          <w:rFonts w:hint="eastAsia"/>
        </w:rPr>
        <w:t>人以下或营业收入</w:t>
      </w:r>
      <w:r>
        <w:t>300</w:t>
      </w:r>
      <w:r>
        <w:rPr>
          <w:rFonts w:hint="eastAsia"/>
        </w:rPr>
        <w:t>万元以下的为微型企业。</w:t>
      </w:r>
    </w:p>
  </w:footnote>
  <w:footnote w:id="1">
    <w:p>
      <w:pPr>
        <w:pStyle w:val="8"/>
        <w:jc w:val="both"/>
      </w:pPr>
      <w:r>
        <w:rPr>
          <w:rStyle w:val="15"/>
          <w:rFonts w:ascii="Times New Roman" w:hAnsi="Times New Roman" w:cs="Times New Roman"/>
        </w:rPr>
        <w:footnoteRef/>
      </w:r>
      <w:r>
        <w:t xml:space="preserve"> </w:t>
      </w:r>
      <w:r>
        <w:rPr>
          <w:rFonts w:hint="eastAsia"/>
        </w:rPr>
        <w:t>所属行业大类和中类，根据《国民经济行业分类与代码（</w:t>
      </w:r>
      <w:r>
        <w:t>GB/T 4754-2017</w:t>
      </w:r>
      <w:r>
        <w:rPr>
          <w:rFonts w:hint="eastAsia"/>
        </w:rPr>
        <w:t>）》进行选填。</w:t>
      </w:r>
    </w:p>
  </w:footnote>
  <w:footnote w:id="2">
    <w:p>
      <w:pPr>
        <w:pStyle w:val="8"/>
        <w:jc w:val="both"/>
      </w:pPr>
      <w:r>
        <w:rPr>
          <w:rStyle w:val="15"/>
          <w:rFonts w:ascii="Times New Roman" w:hAnsi="Times New Roman" w:cs="Times New Roman"/>
        </w:rPr>
        <w:footnoteRef/>
      </w:r>
      <w:r>
        <w:t xml:space="preserve"> </w:t>
      </w:r>
      <w:r>
        <w:rPr>
          <w:rFonts w:hint="eastAsia"/>
          <w:color w:val="070707"/>
        </w:rPr>
        <w:t>重大、特大安全生产事故认定标准见《生产安全事故报告和调查处理条例》（中华人民共和国国务院令第</w:t>
      </w:r>
      <w:r>
        <w:rPr>
          <w:color w:val="070707"/>
        </w:rPr>
        <w:t>493</w:t>
      </w:r>
      <w:r>
        <w:rPr>
          <w:rFonts w:hint="eastAsia"/>
          <w:color w:val="070707"/>
        </w:rPr>
        <w:t>号）第三条（一）（二），重大、特大环境事故认定标准见《国家突发环境事件应急预案》（国办函〔</w:t>
      </w:r>
      <w:r>
        <w:rPr>
          <w:color w:val="070707"/>
        </w:rPr>
        <w:t>2014</w:t>
      </w:r>
      <w:r>
        <w:rPr>
          <w:rFonts w:hint="eastAsia"/>
          <w:color w:val="070707"/>
        </w:rPr>
        <w:t>〕</w:t>
      </w:r>
      <w:r>
        <w:rPr>
          <w:color w:val="070707"/>
        </w:rPr>
        <w:t>119</w:t>
      </w:r>
      <w:r>
        <w:rPr>
          <w:rFonts w:hint="eastAsia"/>
          <w:color w:val="070707"/>
        </w:rPr>
        <w:t>号）附件</w:t>
      </w:r>
      <w:r>
        <w:rPr>
          <w:color w:val="070707"/>
        </w:rPr>
        <w:t>1</w:t>
      </w:r>
      <w:r>
        <w:rPr>
          <w:rFonts w:hint="eastAsia"/>
          <w:color w:val="070707"/>
        </w:rPr>
        <w:t>第一条、第二条</w:t>
      </w:r>
      <w:r>
        <w:rPr>
          <w:rFonts w:hint="eastAsia"/>
        </w:rPr>
        <w:t>。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5FE92D8"/>
    <w:multiLevelType w:val="singleLevel"/>
    <w:tmpl w:val="85FE92D8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HorizontalSpacing w:val="105"/>
  <w:drawingGridVerticalSpacing w:val="143"/>
  <w:displayHorizontalDrawingGridEvery w:val="0"/>
  <w:displayVerticalDrawingGridEvery w:val="2"/>
  <w:characterSpacingControl w:val="doNotCompress"/>
  <w:footnotePr>
    <w:footnote w:id="6"/>
    <w:footnote w:id="7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885"/>
    <w:rsid w:val="00002CE6"/>
    <w:rsid w:val="00003279"/>
    <w:rsid w:val="000217EB"/>
    <w:rsid w:val="00061FEC"/>
    <w:rsid w:val="00066290"/>
    <w:rsid w:val="000A0EB6"/>
    <w:rsid w:val="000C2B20"/>
    <w:rsid w:val="000F5A3A"/>
    <w:rsid w:val="00102B5F"/>
    <w:rsid w:val="0012072F"/>
    <w:rsid w:val="00123CCD"/>
    <w:rsid w:val="0013360E"/>
    <w:rsid w:val="00142D36"/>
    <w:rsid w:val="001437BF"/>
    <w:rsid w:val="00165220"/>
    <w:rsid w:val="00184D3C"/>
    <w:rsid w:val="001942E4"/>
    <w:rsid w:val="001A3F5E"/>
    <w:rsid w:val="001B40F2"/>
    <w:rsid w:val="001E5584"/>
    <w:rsid w:val="001F1DD3"/>
    <w:rsid w:val="001F3777"/>
    <w:rsid w:val="00210B1F"/>
    <w:rsid w:val="00216FFA"/>
    <w:rsid w:val="00226D7C"/>
    <w:rsid w:val="0025102A"/>
    <w:rsid w:val="00252DC8"/>
    <w:rsid w:val="00282CD7"/>
    <w:rsid w:val="002A6BC5"/>
    <w:rsid w:val="002B75B7"/>
    <w:rsid w:val="002B7EC5"/>
    <w:rsid w:val="002F1A4E"/>
    <w:rsid w:val="0030018C"/>
    <w:rsid w:val="00300953"/>
    <w:rsid w:val="00313D1C"/>
    <w:rsid w:val="00330850"/>
    <w:rsid w:val="0035079E"/>
    <w:rsid w:val="00356C13"/>
    <w:rsid w:val="0038116C"/>
    <w:rsid w:val="00387098"/>
    <w:rsid w:val="003A1B25"/>
    <w:rsid w:val="003D3EAC"/>
    <w:rsid w:val="003D4366"/>
    <w:rsid w:val="003E7AB5"/>
    <w:rsid w:val="003F49CB"/>
    <w:rsid w:val="00402F13"/>
    <w:rsid w:val="004104D5"/>
    <w:rsid w:val="00420B22"/>
    <w:rsid w:val="00426FC6"/>
    <w:rsid w:val="004279EB"/>
    <w:rsid w:val="00447C25"/>
    <w:rsid w:val="00456216"/>
    <w:rsid w:val="00463523"/>
    <w:rsid w:val="004757B9"/>
    <w:rsid w:val="00477612"/>
    <w:rsid w:val="0048674C"/>
    <w:rsid w:val="004874C8"/>
    <w:rsid w:val="004C20F7"/>
    <w:rsid w:val="004E6E99"/>
    <w:rsid w:val="004F6FA6"/>
    <w:rsid w:val="0050078A"/>
    <w:rsid w:val="0050368A"/>
    <w:rsid w:val="00505423"/>
    <w:rsid w:val="00526334"/>
    <w:rsid w:val="005266DA"/>
    <w:rsid w:val="00527CB9"/>
    <w:rsid w:val="00557D0A"/>
    <w:rsid w:val="005605EA"/>
    <w:rsid w:val="0056321D"/>
    <w:rsid w:val="005730D3"/>
    <w:rsid w:val="00585CD2"/>
    <w:rsid w:val="005879D1"/>
    <w:rsid w:val="005905DE"/>
    <w:rsid w:val="005C5AE6"/>
    <w:rsid w:val="005D4E14"/>
    <w:rsid w:val="005E7305"/>
    <w:rsid w:val="005F1306"/>
    <w:rsid w:val="0060547B"/>
    <w:rsid w:val="00616E9A"/>
    <w:rsid w:val="0062051C"/>
    <w:rsid w:val="00621411"/>
    <w:rsid w:val="00631854"/>
    <w:rsid w:val="006337F1"/>
    <w:rsid w:val="006346E0"/>
    <w:rsid w:val="00643540"/>
    <w:rsid w:val="006501A4"/>
    <w:rsid w:val="0065082A"/>
    <w:rsid w:val="006556FD"/>
    <w:rsid w:val="00667E29"/>
    <w:rsid w:val="006752AF"/>
    <w:rsid w:val="006858FC"/>
    <w:rsid w:val="00692BA1"/>
    <w:rsid w:val="006A78FE"/>
    <w:rsid w:val="006C4A57"/>
    <w:rsid w:val="006D781C"/>
    <w:rsid w:val="00720F05"/>
    <w:rsid w:val="00723CF1"/>
    <w:rsid w:val="00724603"/>
    <w:rsid w:val="00744529"/>
    <w:rsid w:val="00751781"/>
    <w:rsid w:val="00770BCD"/>
    <w:rsid w:val="0077653D"/>
    <w:rsid w:val="00784805"/>
    <w:rsid w:val="00786B4A"/>
    <w:rsid w:val="0079731A"/>
    <w:rsid w:val="007A70C4"/>
    <w:rsid w:val="007B5057"/>
    <w:rsid w:val="007C4B0F"/>
    <w:rsid w:val="007D619A"/>
    <w:rsid w:val="007E4F60"/>
    <w:rsid w:val="00810804"/>
    <w:rsid w:val="00823992"/>
    <w:rsid w:val="00825ABA"/>
    <w:rsid w:val="008425DB"/>
    <w:rsid w:val="00843AAA"/>
    <w:rsid w:val="00844E36"/>
    <w:rsid w:val="00847984"/>
    <w:rsid w:val="00855E09"/>
    <w:rsid w:val="0086194E"/>
    <w:rsid w:val="00865363"/>
    <w:rsid w:val="0086605B"/>
    <w:rsid w:val="00873E53"/>
    <w:rsid w:val="0088431E"/>
    <w:rsid w:val="00892827"/>
    <w:rsid w:val="008A1925"/>
    <w:rsid w:val="008A4752"/>
    <w:rsid w:val="008A75B1"/>
    <w:rsid w:val="008B68EE"/>
    <w:rsid w:val="008C77E6"/>
    <w:rsid w:val="00902C1A"/>
    <w:rsid w:val="0091548E"/>
    <w:rsid w:val="00921DA0"/>
    <w:rsid w:val="00936B36"/>
    <w:rsid w:val="00937651"/>
    <w:rsid w:val="009419F7"/>
    <w:rsid w:val="00944CB5"/>
    <w:rsid w:val="009471B9"/>
    <w:rsid w:val="00951945"/>
    <w:rsid w:val="009565F4"/>
    <w:rsid w:val="00976766"/>
    <w:rsid w:val="009830F0"/>
    <w:rsid w:val="00997C2C"/>
    <w:rsid w:val="009A7885"/>
    <w:rsid w:val="009D5A16"/>
    <w:rsid w:val="009F15B6"/>
    <w:rsid w:val="009F607E"/>
    <w:rsid w:val="00A1604D"/>
    <w:rsid w:val="00A16784"/>
    <w:rsid w:val="00A31332"/>
    <w:rsid w:val="00A60DB9"/>
    <w:rsid w:val="00A63E4B"/>
    <w:rsid w:val="00A74362"/>
    <w:rsid w:val="00A93C38"/>
    <w:rsid w:val="00AA4F94"/>
    <w:rsid w:val="00AB0FED"/>
    <w:rsid w:val="00AB6D5A"/>
    <w:rsid w:val="00AD2A85"/>
    <w:rsid w:val="00B025E2"/>
    <w:rsid w:val="00B0521D"/>
    <w:rsid w:val="00B0631D"/>
    <w:rsid w:val="00B14E68"/>
    <w:rsid w:val="00B17540"/>
    <w:rsid w:val="00B27A0B"/>
    <w:rsid w:val="00B52394"/>
    <w:rsid w:val="00B540EE"/>
    <w:rsid w:val="00B64334"/>
    <w:rsid w:val="00B93773"/>
    <w:rsid w:val="00B9392B"/>
    <w:rsid w:val="00BC4C6A"/>
    <w:rsid w:val="00C02E61"/>
    <w:rsid w:val="00C7369D"/>
    <w:rsid w:val="00C74C85"/>
    <w:rsid w:val="00CA0643"/>
    <w:rsid w:val="00CA196B"/>
    <w:rsid w:val="00CB0669"/>
    <w:rsid w:val="00CD40CB"/>
    <w:rsid w:val="00CE27CE"/>
    <w:rsid w:val="00D00A18"/>
    <w:rsid w:val="00D00A4C"/>
    <w:rsid w:val="00D1046A"/>
    <w:rsid w:val="00D13B11"/>
    <w:rsid w:val="00D24333"/>
    <w:rsid w:val="00D253E7"/>
    <w:rsid w:val="00D30D49"/>
    <w:rsid w:val="00D45805"/>
    <w:rsid w:val="00D50774"/>
    <w:rsid w:val="00D52931"/>
    <w:rsid w:val="00D6755D"/>
    <w:rsid w:val="00D70D87"/>
    <w:rsid w:val="00D80159"/>
    <w:rsid w:val="00DA0AA6"/>
    <w:rsid w:val="00DA6880"/>
    <w:rsid w:val="00DC3D47"/>
    <w:rsid w:val="00DC5450"/>
    <w:rsid w:val="00DD0201"/>
    <w:rsid w:val="00DD25D5"/>
    <w:rsid w:val="00DF5343"/>
    <w:rsid w:val="00E0206D"/>
    <w:rsid w:val="00E05A32"/>
    <w:rsid w:val="00E121C5"/>
    <w:rsid w:val="00E24C51"/>
    <w:rsid w:val="00E4155C"/>
    <w:rsid w:val="00E62D76"/>
    <w:rsid w:val="00E91184"/>
    <w:rsid w:val="00E91C82"/>
    <w:rsid w:val="00EA23B3"/>
    <w:rsid w:val="00EC4D2C"/>
    <w:rsid w:val="00EC66EC"/>
    <w:rsid w:val="00EC6AFB"/>
    <w:rsid w:val="00EE6EB9"/>
    <w:rsid w:val="00EE7A80"/>
    <w:rsid w:val="00F24497"/>
    <w:rsid w:val="00F350E8"/>
    <w:rsid w:val="00F455A3"/>
    <w:rsid w:val="00F517EC"/>
    <w:rsid w:val="00F5378F"/>
    <w:rsid w:val="00F61034"/>
    <w:rsid w:val="00F65069"/>
    <w:rsid w:val="00F6744C"/>
    <w:rsid w:val="00F820A9"/>
    <w:rsid w:val="00F82805"/>
    <w:rsid w:val="00F9439F"/>
    <w:rsid w:val="00F94F75"/>
    <w:rsid w:val="00FA60D9"/>
    <w:rsid w:val="00FB5B0B"/>
    <w:rsid w:val="00FC1CFE"/>
    <w:rsid w:val="11DD56A0"/>
    <w:rsid w:val="16723BA5"/>
    <w:rsid w:val="18C9429D"/>
    <w:rsid w:val="197CDED2"/>
    <w:rsid w:val="1C483D73"/>
    <w:rsid w:val="1F97595E"/>
    <w:rsid w:val="20371DD6"/>
    <w:rsid w:val="209C39E1"/>
    <w:rsid w:val="29767F0D"/>
    <w:rsid w:val="2C632863"/>
    <w:rsid w:val="2CD36030"/>
    <w:rsid w:val="303D6F44"/>
    <w:rsid w:val="3DAE2C3B"/>
    <w:rsid w:val="3EEFF35B"/>
    <w:rsid w:val="3F6F197A"/>
    <w:rsid w:val="3FBDACEB"/>
    <w:rsid w:val="448D6232"/>
    <w:rsid w:val="477F7842"/>
    <w:rsid w:val="49A12EE0"/>
    <w:rsid w:val="4B0772EA"/>
    <w:rsid w:val="4E8A68FA"/>
    <w:rsid w:val="527E0E49"/>
    <w:rsid w:val="53FE966C"/>
    <w:rsid w:val="5B951BCA"/>
    <w:rsid w:val="5DFD99B4"/>
    <w:rsid w:val="5E874E6E"/>
    <w:rsid w:val="5F5FB69A"/>
    <w:rsid w:val="609E5AEB"/>
    <w:rsid w:val="635F0EAB"/>
    <w:rsid w:val="64EE240E"/>
    <w:rsid w:val="659D2920"/>
    <w:rsid w:val="726A1543"/>
    <w:rsid w:val="76FE9A50"/>
    <w:rsid w:val="76FFA9DF"/>
    <w:rsid w:val="78A6466D"/>
    <w:rsid w:val="7DFEBF56"/>
    <w:rsid w:val="7EEB897F"/>
    <w:rsid w:val="7EEF6BEC"/>
    <w:rsid w:val="7F551B7A"/>
    <w:rsid w:val="7FBDF23D"/>
    <w:rsid w:val="7FFBE9F4"/>
    <w:rsid w:val="B3A9C568"/>
    <w:rsid w:val="BDFA4CEE"/>
    <w:rsid w:val="CBFFACB7"/>
    <w:rsid w:val="D87BBF6C"/>
    <w:rsid w:val="DCDDB6DA"/>
    <w:rsid w:val="E7DCE383"/>
    <w:rsid w:val="EDBFDC57"/>
    <w:rsid w:val="EFDF1F6A"/>
    <w:rsid w:val="F6CEFD59"/>
    <w:rsid w:val="F8FFFBA2"/>
    <w:rsid w:val="F995772F"/>
    <w:rsid w:val="F9EEFFBA"/>
    <w:rsid w:val="FECFF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9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20"/>
    <w:semiHidden/>
    <w:unhideWhenUsed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24"/>
    <w:qFormat/>
    <w:uiPriority w:val="0"/>
    <w:pPr>
      <w:spacing w:after="120"/>
    </w:pPr>
    <w:rPr>
      <w:rFonts w:ascii="Times New Roman" w:hAnsi="Times New Roman" w:eastAsia="宋体" w:cs="Times New Roman"/>
      <w:szCs w:val="20"/>
    </w:rPr>
  </w:style>
  <w:style w:type="paragraph" w:styleId="4">
    <w:name w:val="Date"/>
    <w:basedOn w:val="1"/>
    <w:next w:val="1"/>
    <w:link w:val="22"/>
    <w:qFormat/>
    <w:uiPriority w:val="0"/>
    <w:pPr>
      <w:ind w:left="100" w:leftChars="2500"/>
    </w:pPr>
  </w:style>
  <w:style w:type="paragraph" w:styleId="5">
    <w:name w:val="Balloon Text"/>
    <w:basedOn w:val="1"/>
    <w:link w:val="17"/>
    <w:qFormat/>
    <w:uiPriority w:val="0"/>
    <w:rPr>
      <w:sz w:val="18"/>
      <w:szCs w:val="18"/>
    </w:rPr>
  </w:style>
  <w:style w:type="paragraph" w:styleId="6">
    <w:name w:val="footer"/>
    <w:basedOn w:val="1"/>
    <w:link w:val="1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8">
    <w:name w:val="footnote text"/>
    <w:basedOn w:val="1"/>
    <w:link w:val="18"/>
    <w:qFormat/>
    <w:uiPriority w:val="0"/>
    <w:pPr>
      <w:snapToGrid w:val="0"/>
      <w:jc w:val="left"/>
    </w:pPr>
    <w:rPr>
      <w:rFonts w:ascii="Times New Roman" w:hAnsi="Times New Roman" w:eastAsia="宋体" w:cs="Times New Roman"/>
      <w:kern w:val="0"/>
      <w:sz w:val="18"/>
      <w:szCs w:val="20"/>
    </w:rPr>
  </w:style>
  <w:style w:type="paragraph" w:styleId="9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page number"/>
    <w:basedOn w:val="12"/>
    <w:qFormat/>
    <w:uiPriority w:val="0"/>
  </w:style>
  <w:style w:type="character" w:styleId="14">
    <w:name w:val="Hyperlink"/>
    <w:basedOn w:val="12"/>
    <w:qFormat/>
    <w:uiPriority w:val="99"/>
    <w:rPr>
      <w:color w:val="0000FF"/>
      <w:u w:val="single"/>
    </w:rPr>
  </w:style>
  <w:style w:type="character" w:styleId="15">
    <w:name w:val="footnote reference"/>
    <w:qFormat/>
    <w:uiPriority w:val="0"/>
    <w:rPr>
      <w:rFonts w:ascii="Verdana" w:hAnsi="Verdana" w:eastAsia="宋体" w:cs="Verdana"/>
      <w:kern w:val="0"/>
      <w:sz w:val="20"/>
      <w:szCs w:val="20"/>
      <w:vertAlign w:val="superscript"/>
      <w:lang w:eastAsia="en-US"/>
    </w:rPr>
  </w:style>
  <w:style w:type="character" w:customStyle="1" w:styleId="16">
    <w:name w:val="页脚 Char"/>
    <w:basedOn w:val="12"/>
    <w:link w:val="6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7">
    <w:name w:val="批注框文本 Char"/>
    <w:basedOn w:val="12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8">
    <w:name w:val="脚注文本 Char1"/>
    <w:link w:val="8"/>
    <w:qFormat/>
    <w:uiPriority w:val="0"/>
    <w:rPr>
      <w:sz w:val="18"/>
    </w:rPr>
  </w:style>
  <w:style w:type="character" w:customStyle="1" w:styleId="19">
    <w:name w:val="脚注文本 字符"/>
    <w:basedOn w:val="1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0">
    <w:name w:val="标题 3 Char"/>
    <w:basedOn w:val="12"/>
    <w:link w:val="2"/>
    <w:semiHidden/>
    <w:qFormat/>
    <w:uiPriority w:val="9"/>
    <w:rPr>
      <w:rFonts w:ascii="宋体" w:hAnsi="宋体" w:cs="宋体"/>
      <w:b/>
      <w:bCs/>
      <w:sz w:val="27"/>
      <w:szCs w:val="27"/>
    </w:rPr>
  </w:style>
  <w:style w:type="paragraph" w:styleId="21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  <w:szCs w:val="22"/>
    </w:rPr>
  </w:style>
  <w:style w:type="character" w:customStyle="1" w:styleId="22">
    <w:name w:val="日期 Char"/>
    <w:basedOn w:val="12"/>
    <w:link w:val="4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23">
    <w:name w:val="脚注文本 Char"/>
    <w:semiHidden/>
    <w:qFormat/>
    <w:uiPriority w:val="0"/>
    <w:rPr>
      <w:rFonts w:ascii="Calibri" w:hAnsi="Calibri" w:eastAsia="宋体" w:cs="黑体"/>
      <w:sz w:val="18"/>
    </w:rPr>
  </w:style>
  <w:style w:type="character" w:customStyle="1" w:styleId="24">
    <w:name w:val="正文文本 Char"/>
    <w:basedOn w:val="12"/>
    <w:link w:val="3"/>
    <w:qFormat/>
    <w:uiPriority w:val="0"/>
    <w:rPr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16</Pages>
  <Words>1092</Words>
  <Characters>6226</Characters>
  <Lines>51</Lines>
  <Paragraphs>14</Paragraphs>
  <TotalTime>5</TotalTime>
  <ScaleCrop>false</ScaleCrop>
  <LinksUpToDate>false</LinksUpToDate>
  <CharactersWithSpaces>7304</CharactersWithSpaces>
  <Application>WPS Office_11.8.2.9450_F1E327BC-269C-435d-A152-05C5408002CA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2022-07-20T05:02:00Z</dcterms:created>
  <dc:creator>501</dc:creator>
  <cp:lastModifiedBy>李翠叶</cp:lastModifiedBy>
  <cp:lastPrinted>2023-03-10T14:49:15Z</cp:lastPrinted>
  <dcterms:modified xsi:type="dcterms:W3CDTF">2023-03-10T15:18:06Z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2052-11.8.2.9450</vt:lpwstr>
  </property>
</Properties>
</file>